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5B416" w14:textId="705EB7BA" w:rsidR="00FE7306" w:rsidRDefault="00F61E2F">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#123</w:t>
      </w:r>
      <w:r>
        <w:rPr>
          <w:sz w:val="24"/>
          <w:lang w:eastAsia="zh-CN"/>
        </w:rPr>
        <w:tab/>
        <w:t xml:space="preserve">                </w:t>
      </w:r>
      <w:r>
        <w:rPr>
          <w:bCs/>
          <w:sz w:val="24"/>
        </w:rPr>
        <w:t xml:space="preserve">                                    </w:t>
      </w:r>
      <w:r w:rsidR="00C14514" w:rsidRPr="00C14514">
        <w:rPr>
          <w:bCs/>
          <w:sz w:val="24"/>
        </w:rPr>
        <w:t>R2-2308357</w:t>
      </w:r>
      <w:bookmarkStart w:id="1" w:name="_GoBack"/>
      <w:bookmarkEnd w:id="1"/>
    </w:p>
    <w:p w14:paraId="7A7A63C4" w14:textId="02F40E60" w:rsidR="00FE7306" w:rsidRDefault="00F61E2F">
      <w:pPr>
        <w:pStyle w:val="CRCoverPage"/>
        <w:outlineLvl w:val="0"/>
        <w:rPr>
          <w:b/>
          <w:sz w:val="24"/>
        </w:rPr>
      </w:pPr>
      <w:r>
        <w:rPr>
          <w:b/>
          <w:sz w:val="24"/>
        </w:rPr>
        <w:t>Toulouse, France, 21 – 25 August 2023</w:t>
      </w:r>
    </w:p>
    <w:p w14:paraId="445243C0" w14:textId="77777777" w:rsidR="00FE7306" w:rsidRDefault="00FE7306">
      <w:pPr>
        <w:pStyle w:val="Header"/>
        <w:rPr>
          <w:bCs/>
          <w:sz w:val="24"/>
          <w:lang w:val="en-GB" w:eastAsia="ja-JP"/>
        </w:rPr>
      </w:pPr>
    </w:p>
    <w:p w14:paraId="22FDE5CF" w14:textId="77777777" w:rsidR="00FE7306" w:rsidRDefault="00F61E2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7.14.5</w:t>
      </w:r>
    </w:p>
    <w:p w14:paraId="0165ED80" w14:textId="77777777" w:rsidR="00FE7306" w:rsidRDefault="00F61E2F">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3E54FCED" w14:textId="77777777" w:rsidR="00FE7306" w:rsidRDefault="00F61E2F">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Pr>
          <w:rFonts w:ascii="Arial" w:hAnsi="Arial" w:cs="Arial" w:hint="eastAsia"/>
          <w:bCs/>
          <w:sz w:val="24"/>
          <w:lang w:eastAsia="zh-CN"/>
        </w:rPr>
        <w:t>Discussion</w:t>
      </w:r>
      <w:r>
        <w:rPr>
          <w:rFonts w:ascii="Arial" w:hAnsi="Arial" w:cs="Arial"/>
          <w:bCs/>
          <w:sz w:val="24"/>
        </w:rPr>
        <w:t xml:space="preserve"> on UE capabilities for QoE enhancements</w:t>
      </w:r>
    </w:p>
    <w:bookmarkEnd w:id="2"/>
    <w:p w14:paraId="5D77D721" w14:textId="77777777" w:rsidR="00FE7306" w:rsidRDefault="00F61E2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5984F9C8" w14:textId="77777777" w:rsidR="00FE7306" w:rsidRDefault="00F61E2F">
      <w:pPr>
        <w:pStyle w:val="Heading1"/>
      </w:pPr>
      <w:r>
        <w:t>Introduction</w:t>
      </w:r>
      <w:bookmarkStart w:id="3" w:name="Proposal_Pattern_Length"/>
    </w:p>
    <w:p w14:paraId="5D6F63F7" w14:textId="77777777" w:rsidR="00FE7306" w:rsidRDefault="00F61E2F">
      <w:pPr>
        <w:spacing w:after="0"/>
        <w:rPr>
          <w:lang w:eastAsia="zh-CN"/>
        </w:rPr>
      </w:pPr>
      <w:r>
        <w:rPr>
          <w:lang w:eastAsia="zh-CN"/>
        </w:rPr>
        <w:t>As part of QoE enhancements summarized in the corresponding WID [1], several new features will be introduced. In this paper we discuss the details of UE capabilities related to these features.</w:t>
      </w:r>
    </w:p>
    <w:p w14:paraId="155AF3AB" w14:textId="77777777" w:rsidR="00FE7306" w:rsidRDefault="00F61E2F">
      <w:pPr>
        <w:pStyle w:val="Heading1"/>
      </w:pPr>
      <w:bookmarkStart w:id="4" w:name="_Toc463066102"/>
      <w:bookmarkStart w:id="5" w:name="_Toc462880706"/>
      <w:bookmarkStart w:id="6" w:name="_Toc462960524"/>
      <w:bookmarkStart w:id="7" w:name="_Toc462957202"/>
      <w:r>
        <w:t>Discussion</w:t>
      </w:r>
    </w:p>
    <w:p w14:paraId="5D42A10A" w14:textId="77777777" w:rsidR="00FE7306" w:rsidRDefault="00F61E2F">
      <w:pPr>
        <w:pStyle w:val="Heading2"/>
        <w:ind w:left="567"/>
      </w:pPr>
      <w:r>
        <w:t>Overview of new QoE capabilities</w:t>
      </w:r>
    </w:p>
    <w:p w14:paraId="6028E621" w14:textId="77777777" w:rsidR="00FE7306" w:rsidRDefault="00F61E2F">
      <w:pPr>
        <w:spacing w:after="0"/>
        <w:rPr>
          <w:lang w:val="en-GB" w:eastAsia="zh-CN"/>
        </w:rPr>
      </w:pPr>
      <w:r>
        <w:rPr>
          <w:lang w:val="en-GB" w:eastAsia="zh-CN"/>
        </w:rPr>
        <w:t xml:space="preserve">The table below summarizes the UE capabilities related to QoE enhancements we believe need to be specified, together with some comments and open issues to be resolved for their definition. </w:t>
      </w:r>
    </w:p>
    <w:p w14:paraId="1C11769A" w14:textId="77777777" w:rsidR="00FE7306" w:rsidRDefault="00FE7306">
      <w:pPr>
        <w:spacing w:after="0"/>
        <w:rPr>
          <w:lang w:val="en-GB" w:eastAsia="zh-CN"/>
        </w:rPr>
      </w:pPr>
    </w:p>
    <w:tbl>
      <w:tblPr>
        <w:tblStyle w:val="TableGrid"/>
        <w:tblW w:w="9350" w:type="dxa"/>
        <w:tblLayout w:type="fixed"/>
        <w:tblLook w:val="04A0" w:firstRow="1" w:lastRow="0" w:firstColumn="1" w:lastColumn="0" w:noHBand="0" w:noVBand="1"/>
      </w:tblPr>
      <w:tblGrid>
        <w:gridCol w:w="2122"/>
        <w:gridCol w:w="3543"/>
        <w:gridCol w:w="3685"/>
      </w:tblGrid>
      <w:tr w:rsidR="00FE7306" w14:paraId="7B65FE78" w14:textId="77777777">
        <w:tc>
          <w:tcPr>
            <w:tcW w:w="2122" w:type="dxa"/>
          </w:tcPr>
          <w:p w14:paraId="64FFBA06" w14:textId="77777777" w:rsidR="00FE7306" w:rsidRPr="008A51D2" w:rsidRDefault="00F61E2F" w:rsidP="008A51D2">
            <w:pPr>
              <w:spacing w:after="0"/>
              <w:jc w:val="center"/>
              <w:rPr>
                <w:b/>
                <w:lang w:val="en-GB" w:eastAsia="zh-CN"/>
              </w:rPr>
            </w:pPr>
            <w:r w:rsidRPr="008A51D2">
              <w:rPr>
                <w:b/>
                <w:lang w:val="en-GB" w:eastAsia="zh-CN"/>
              </w:rPr>
              <w:t>Capability</w:t>
            </w:r>
          </w:p>
        </w:tc>
        <w:tc>
          <w:tcPr>
            <w:tcW w:w="3543" w:type="dxa"/>
          </w:tcPr>
          <w:p w14:paraId="41906E58" w14:textId="77777777" w:rsidR="00FE7306" w:rsidRPr="008A51D2" w:rsidRDefault="00F61E2F" w:rsidP="008A51D2">
            <w:pPr>
              <w:spacing w:after="0"/>
              <w:jc w:val="center"/>
              <w:rPr>
                <w:b/>
                <w:lang w:val="en-GB" w:eastAsia="zh-CN"/>
              </w:rPr>
            </w:pPr>
            <w:r w:rsidRPr="008A51D2">
              <w:rPr>
                <w:b/>
                <w:lang w:val="en-GB" w:eastAsia="zh-CN"/>
              </w:rPr>
              <w:t>Potential description</w:t>
            </w:r>
          </w:p>
        </w:tc>
        <w:tc>
          <w:tcPr>
            <w:tcW w:w="3685" w:type="dxa"/>
          </w:tcPr>
          <w:p w14:paraId="5CE5EA9A" w14:textId="77777777" w:rsidR="00FE7306" w:rsidRPr="008A51D2" w:rsidRDefault="00F61E2F" w:rsidP="008A51D2">
            <w:pPr>
              <w:spacing w:after="0"/>
              <w:jc w:val="center"/>
              <w:rPr>
                <w:b/>
                <w:lang w:val="en-GB" w:eastAsia="zh-CN"/>
              </w:rPr>
            </w:pPr>
            <w:r w:rsidRPr="008A51D2">
              <w:rPr>
                <w:b/>
                <w:lang w:val="en-GB" w:eastAsia="zh-CN"/>
              </w:rPr>
              <w:t>Open issues</w:t>
            </w:r>
          </w:p>
        </w:tc>
      </w:tr>
      <w:tr w:rsidR="00FE7306" w14:paraId="7ADF3486" w14:textId="77777777">
        <w:tc>
          <w:tcPr>
            <w:tcW w:w="2122" w:type="dxa"/>
          </w:tcPr>
          <w:p w14:paraId="12E02A59" w14:textId="77777777" w:rsidR="00FE7306" w:rsidRDefault="00F61E2F">
            <w:pPr>
              <w:spacing w:after="0"/>
              <w:rPr>
                <w:lang w:val="en-GB" w:eastAsia="zh-CN"/>
              </w:rPr>
            </w:pPr>
            <w:r>
              <w:rPr>
                <w:lang w:val="en-GB" w:eastAsia="zh-CN"/>
              </w:rPr>
              <w:t>QoE measurements in RRC IDLE and RRC INACTIVE states</w:t>
            </w:r>
          </w:p>
        </w:tc>
        <w:tc>
          <w:tcPr>
            <w:tcW w:w="3543" w:type="dxa"/>
          </w:tcPr>
          <w:p w14:paraId="3CC54969" w14:textId="77777777" w:rsidR="00FE7306" w:rsidRDefault="00F61E2F">
            <w:pPr>
              <w:spacing w:after="0"/>
              <w:rPr>
                <w:lang w:val="en-GB" w:eastAsia="zh-CN"/>
              </w:rPr>
            </w:pPr>
            <w:r>
              <w:rPr>
                <w:lang w:val="en-GB" w:eastAsia="zh-CN"/>
              </w:rPr>
              <w:t>Indicates whether the UE supports NR QoE Measurement Collection when the UE is in RRC_IDLE and RRC_INACTIVE.</w:t>
            </w:r>
          </w:p>
        </w:tc>
        <w:tc>
          <w:tcPr>
            <w:tcW w:w="3685" w:type="dxa"/>
          </w:tcPr>
          <w:p w14:paraId="779E1A02" w14:textId="77777777" w:rsidR="00FE7306" w:rsidRDefault="00F61E2F">
            <w:pPr>
              <w:pStyle w:val="ListParagraph"/>
              <w:numPr>
                <w:ilvl w:val="0"/>
                <w:numId w:val="11"/>
              </w:numPr>
              <w:spacing w:after="0"/>
              <w:rPr>
                <w:lang w:val="en-GB"/>
              </w:rPr>
            </w:pPr>
            <w:r>
              <w:rPr>
                <w:lang w:val="en-GB"/>
              </w:rPr>
              <w:t>Depending on whether MBS is treated as a separate QoE service type:</w:t>
            </w:r>
          </w:p>
          <w:p w14:paraId="0758A8E7" w14:textId="77777777" w:rsidR="00FE7306" w:rsidRDefault="00F61E2F">
            <w:pPr>
              <w:pStyle w:val="ListParagraph"/>
              <w:numPr>
                <w:ilvl w:val="1"/>
                <w:numId w:val="11"/>
              </w:numPr>
              <w:spacing w:after="0"/>
              <w:rPr>
                <w:lang w:val="en-GB"/>
              </w:rPr>
            </w:pPr>
            <w:r>
              <w:rPr>
                <w:lang w:val="en-GB"/>
              </w:rPr>
              <w:t>If it is, this capability can be specified as a new service type.</w:t>
            </w:r>
          </w:p>
          <w:p w14:paraId="6F54683A" w14:textId="77777777" w:rsidR="00FE7306" w:rsidRDefault="00F61E2F">
            <w:pPr>
              <w:pStyle w:val="ListParagraph"/>
              <w:numPr>
                <w:ilvl w:val="1"/>
                <w:numId w:val="11"/>
              </w:numPr>
              <w:spacing w:after="0"/>
              <w:rPr>
                <w:lang w:val="en-GB"/>
              </w:rPr>
            </w:pPr>
            <w:r>
              <w:rPr>
                <w:lang w:val="en-GB"/>
              </w:rPr>
              <w:t xml:space="preserve">If it is not, RAN2 needs to decide whether there is a single capability for all supported QoE service types or separate ones are needed. </w:t>
            </w:r>
          </w:p>
          <w:p w14:paraId="142F6FC2" w14:textId="77777777" w:rsidR="00FE7306" w:rsidRDefault="00F61E2F">
            <w:pPr>
              <w:pStyle w:val="ListParagraph"/>
              <w:numPr>
                <w:ilvl w:val="0"/>
                <w:numId w:val="11"/>
              </w:numPr>
              <w:spacing w:after="0"/>
              <w:rPr>
                <w:lang w:val="en-GB"/>
              </w:rPr>
            </w:pPr>
            <w:r>
              <w:rPr>
                <w:lang w:val="en-GB"/>
              </w:rPr>
              <w:t>What is a volume of minimum and additional memory sizes for storing QoE reports collected in RRC IDLE/INACTIVE.</w:t>
            </w:r>
          </w:p>
        </w:tc>
      </w:tr>
      <w:tr w:rsidR="00FE7306" w14:paraId="77AFCC9C" w14:textId="77777777">
        <w:tc>
          <w:tcPr>
            <w:tcW w:w="2122" w:type="dxa"/>
          </w:tcPr>
          <w:p w14:paraId="5FEEEAB8" w14:textId="77777777" w:rsidR="00FE7306" w:rsidRDefault="00F61E2F">
            <w:pPr>
              <w:spacing w:after="0"/>
              <w:rPr>
                <w:lang w:val="en-GB" w:eastAsia="zh-CN"/>
              </w:rPr>
            </w:pPr>
            <w:r>
              <w:rPr>
                <w:lang w:val="en-GB" w:eastAsia="zh-CN"/>
              </w:rPr>
              <w:t>AR/MR service type for QoE</w:t>
            </w:r>
          </w:p>
        </w:tc>
        <w:tc>
          <w:tcPr>
            <w:tcW w:w="3543" w:type="dxa"/>
          </w:tcPr>
          <w:p w14:paraId="6BAF805D" w14:textId="77777777" w:rsidR="00FE7306" w:rsidRDefault="00F61E2F">
            <w:pPr>
              <w:spacing w:after="0"/>
              <w:rPr>
                <w:lang w:val="en-GB" w:eastAsia="zh-CN"/>
              </w:rPr>
            </w:pPr>
            <w:r>
              <w:rPr>
                <w:lang w:val="en-GB" w:eastAsia="zh-CN"/>
              </w:rPr>
              <w:t xml:space="preserve">Indicates whether the UE supports NR QoE Measurement Collection for AR/MR services, </w:t>
            </w:r>
            <w:r>
              <w:rPr>
                <w:highlight w:val="yellow"/>
                <w:lang w:val="en-GB" w:eastAsia="zh-CN"/>
              </w:rPr>
              <w:t>see TS 26.119</w:t>
            </w:r>
            <w:r>
              <w:rPr>
                <w:lang w:val="en-GB" w:eastAsia="zh-CN"/>
              </w:rPr>
              <w:t>.</w:t>
            </w:r>
          </w:p>
        </w:tc>
        <w:tc>
          <w:tcPr>
            <w:tcW w:w="3685" w:type="dxa"/>
          </w:tcPr>
          <w:p w14:paraId="46DC62BA" w14:textId="77777777" w:rsidR="00FE7306" w:rsidRDefault="00F61E2F">
            <w:pPr>
              <w:pStyle w:val="ListParagraph"/>
              <w:numPr>
                <w:ilvl w:val="0"/>
                <w:numId w:val="12"/>
              </w:numPr>
              <w:ind w:left="324"/>
              <w:rPr>
                <w:lang w:val="en-GB"/>
              </w:rPr>
            </w:pPr>
            <w:r>
              <w:rPr>
                <w:lang w:val="en-US"/>
              </w:rPr>
              <w:t xml:space="preserve">SA4 is still working on AR/MR and it is not yet clear whether the work will be finalized in Rel-18. </w:t>
            </w:r>
          </w:p>
          <w:p w14:paraId="0FC445A0" w14:textId="77777777" w:rsidR="00FE7306" w:rsidRDefault="00F61E2F">
            <w:pPr>
              <w:pStyle w:val="ListParagraph"/>
              <w:numPr>
                <w:ilvl w:val="0"/>
                <w:numId w:val="12"/>
              </w:numPr>
              <w:ind w:left="324"/>
              <w:rPr>
                <w:lang w:val="en-GB"/>
              </w:rPr>
            </w:pPr>
            <w:r>
              <w:rPr>
                <w:lang w:val="en-GB"/>
              </w:rPr>
              <w:t xml:space="preserve">Metrics are unknown so it is unclear whether RVQoE is applicable to AR/MR. </w:t>
            </w:r>
          </w:p>
        </w:tc>
      </w:tr>
      <w:tr w:rsidR="00FE7306" w14:paraId="62829C51" w14:textId="77777777">
        <w:tc>
          <w:tcPr>
            <w:tcW w:w="2122" w:type="dxa"/>
          </w:tcPr>
          <w:p w14:paraId="2E49736F" w14:textId="77777777" w:rsidR="00FE7306" w:rsidRDefault="00F61E2F">
            <w:pPr>
              <w:spacing w:after="0"/>
              <w:rPr>
                <w:lang w:val="en-GB" w:eastAsia="zh-CN"/>
              </w:rPr>
            </w:pPr>
            <w:r>
              <w:rPr>
                <w:lang w:val="en-GB"/>
              </w:rPr>
              <w:lastRenderedPageBreak/>
              <w:t xml:space="preserve">SRB5 support </w:t>
            </w:r>
          </w:p>
        </w:tc>
        <w:tc>
          <w:tcPr>
            <w:tcW w:w="3543" w:type="dxa"/>
          </w:tcPr>
          <w:p w14:paraId="52DE3F6A" w14:textId="77777777" w:rsidR="00FE7306" w:rsidRDefault="00F61E2F">
            <w:pPr>
              <w:spacing w:after="0"/>
              <w:rPr>
                <w:lang w:val="en-GB" w:eastAsia="zh-CN"/>
              </w:rPr>
            </w:pPr>
            <w:r>
              <w:rPr>
                <w:lang w:val="en-GB"/>
              </w:rPr>
              <w:t xml:space="preserve">Indicates whether the UE supports configuration of SRB5 for NR QoE measurement reporting and RAN visible QoE measurement reporting (if supported by the UE) over SCG when the UE is configured with NR-DC, as specified in TS 38.331. </w:t>
            </w:r>
          </w:p>
        </w:tc>
        <w:tc>
          <w:tcPr>
            <w:tcW w:w="3685" w:type="dxa"/>
          </w:tcPr>
          <w:p w14:paraId="3333BA66" w14:textId="77777777" w:rsidR="00FE7306" w:rsidRDefault="00F61E2F">
            <w:r>
              <w:t>Details of the mechanism are pending progress in RAN2 and RAN3, but do not seem to be related to capabilities design.</w:t>
            </w:r>
          </w:p>
        </w:tc>
      </w:tr>
      <w:tr w:rsidR="00FE7306" w14:paraId="2CDE2FA0" w14:textId="77777777">
        <w:tc>
          <w:tcPr>
            <w:tcW w:w="2122" w:type="dxa"/>
          </w:tcPr>
          <w:p w14:paraId="47B3B148" w14:textId="77777777" w:rsidR="00FE7306" w:rsidRDefault="00F61E2F">
            <w:pPr>
              <w:spacing w:after="0"/>
              <w:rPr>
                <w:lang w:val="en-GB"/>
              </w:rPr>
            </w:pPr>
            <w:r>
              <w:rPr>
                <w:lang w:val="en-GB"/>
              </w:rPr>
              <w:t>Support of buffer level threshold based QoE report triggering</w:t>
            </w:r>
          </w:p>
        </w:tc>
        <w:tc>
          <w:tcPr>
            <w:tcW w:w="3543" w:type="dxa"/>
          </w:tcPr>
          <w:p w14:paraId="53A4F989" w14:textId="77777777" w:rsidR="00FE7306" w:rsidRDefault="00F61E2F">
            <w:pPr>
              <w:spacing w:after="0"/>
              <w:rPr>
                <w:lang w:val="en-GB"/>
              </w:rPr>
            </w:pPr>
            <w:r>
              <w:rPr>
                <w:lang w:val="en-GB"/>
              </w:rPr>
              <w:t xml:space="preserve">Indicates whether the UE supports </w:t>
            </w:r>
            <w:r>
              <w:rPr>
                <w:rFonts w:eastAsia="DengXian"/>
                <w:lang w:eastAsia="zh-CN"/>
              </w:rPr>
              <w:t xml:space="preserve">RAN visible QoE measurement reporting triggered based on the configured threshold of </w:t>
            </w:r>
            <w:r>
              <w:rPr>
                <w:szCs w:val="22"/>
                <w:lang w:eastAsia="sv-SE"/>
              </w:rPr>
              <w:t xml:space="preserve">application layer buffer levels, as specified in TS 38.331 and in </w:t>
            </w:r>
            <w:r>
              <w:rPr>
                <w:szCs w:val="22"/>
                <w:highlight w:val="yellow"/>
                <w:lang w:eastAsia="sv-SE"/>
              </w:rPr>
              <w:t>TS xx.xxx (SA4 specifications)</w:t>
            </w:r>
            <w:r>
              <w:rPr>
                <w:szCs w:val="22"/>
                <w:lang w:eastAsia="sv-SE"/>
              </w:rPr>
              <w:t xml:space="preserve">. </w:t>
            </w:r>
            <w:r>
              <w:rPr>
                <w:rFonts w:eastAsia="DengXian"/>
                <w:lang w:eastAsia="zh-CN"/>
              </w:rPr>
              <w:t xml:space="preserve">A UE supporting this feature shall also support </w:t>
            </w:r>
            <w:r>
              <w:rPr>
                <w:rFonts w:eastAsia="DengXian"/>
                <w:i/>
                <w:iCs/>
                <w:highlight w:val="yellow"/>
                <w:lang w:eastAsia="zh-CN"/>
              </w:rPr>
              <w:t xml:space="preserve">ran-VisibleQoE-VR-MeasReport-r17 </w:t>
            </w:r>
            <w:r>
              <w:rPr>
                <w:rFonts w:eastAsia="DengXian"/>
                <w:iCs/>
                <w:highlight w:val="yellow"/>
                <w:lang w:eastAsia="zh-CN"/>
              </w:rPr>
              <w:t xml:space="preserve">or </w:t>
            </w:r>
            <w:r>
              <w:rPr>
                <w:rFonts w:eastAsia="DengXian"/>
                <w:i/>
                <w:iCs/>
                <w:highlight w:val="yellow"/>
                <w:lang w:eastAsia="zh-CN"/>
              </w:rPr>
              <w:t>ran-VisibleQoE-Streaming-MeasReport-r17</w:t>
            </w:r>
            <w:r>
              <w:rPr>
                <w:rFonts w:eastAsia="DengXian"/>
                <w:iCs/>
                <w:lang w:eastAsia="zh-CN"/>
              </w:rPr>
              <w:t>.</w:t>
            </w:r>
          </w:p>
        </w:tc>
        <w:tc>
          <w:tcPr>
            <w:tcW w:w="3685" w:type="dxa"/>
          </w:tcPr>
          <w:p w14:paraId="7B05E990" w14:textId="13EE80DD" w:rsidR="00FE7306" w:rsidRDefault="00F61E2F">
            <w:r>
              <w:t xml:space="preserve">The design of the feature is not yet clear and there are still many open issues which need to be decided by RAN3 in cooperation with SA4. </w:t>
            </w:r>
            <w:r w:rsidR="005C265C">
              <w:t xml:space="preserve">Furthermore, SA4 recently suggested that buffer level alone is not an appropriate metric for RAN to make any decisions, see the LS in [5]. Hence, at the moment </w:t>
            </w:r>
            <w:r>
              <w:t>it is still unclear whether/which SA4 specifications will support this feature in Rel-18.</w:t>
            </w:r>
          </w:p>
        </w:tc>
      </w:tr>
    </w:tbl>
    <w:p w14:paraId="62D5DFC5" w14:textId="03E26BF0" w:rsidR="00FE7306" w:rsidRDefault="00FE7306">
      <w:pPr>
        <w:spacing w:after="0"/>
        <w:rPr>
          <w:lang w:val="en-GB" w:eastAsia="zh-CN"/>
        </w:rPr>
      </w:pPr>
    </w:p>
    <w:p w14:paraId="20537A3B" w14:textId="32012231" w:rsidR="007C6C8C" w:rsidRDefault="007C6C8C">
      <w:pPr>
        <w:spacing w:after="0"/>
        <w:rPr>
          <w:lang w:val="en-GB" w:eastAsia="zh-CN"/>
        </w:rPr>
      </w:pPr>
      <w:r>
        <w:rPr>
          <w:lang w:val="en-GB" w:eastAsia="zh-CN"/>
        </w:rPr>
        <w:t xml:space="preserve">In the subsequent sections we discuss open issues related to QoE enhancements capabilities under RAN2 </w:t>
      </w:r>
      <w:r w:rsidR="00DC4586">
        <w:rPr>
          <w:lang w:val="en-GB" w:eastAsia="zh-CN"/>
        </w:rPr>
        <w:t>scope</w:t>
      </w:r>
      <w:r>
        <w:rPr>
          <w:lang w:val="en-GB" w:eastAsia="zh-CN"/>
        </w:rPr>
        <w:t>.</w:t>
      </w:r>
    </w:p>
    <w:p w14:paraId="41F66FD1" w14:textId="77777777" w:rsidR="00FE7306" w:rsidRDefault="00F61E2F">
      <w:pPr>
        <w:pStyle w:val="Heading2"/>
        <w:ind w:left="567"/>
      </w:pPr>
      <w:r>
        <w:t>QoE collection in RRC IDLE/INACTIVE</w:t>
      </w:r>
    </w:p>
    <w:p w14:paraId="262C8A4E" w14:textId="77777777" w:rsidR="00FE7306" w:rsidRDefault="00F61E2F">
      <w:pPr>
        <w:rPr>
          <w:lang w:val="en-GB"/>
        </w:rPr>
      </w:pPr>
      <w:r>
        <w:rPr>
          <w:lang w:val="en-GB"/>
        </w:rPr>
        <w:t>As mentioned above, the following two issues need to be resolved in order to be able to define this capability properly:</w:t>
      </w:r>
    </w:p>
    <w:p w14:paraId="15C2A2F6" w14:textId="77777777" w:rsidR="00FE7306" w:rsidRDefault="00F61E2F">
      <w:pPr>
        <w:pStyle w:val="ListParagraph"/>
        <w:numPr>
          <w:ilvl w:val="0"/>
          <w:numId w:val="13"/>
        </w:numPr>
        <w:spacing w:after="0"/>
        <w:rPr>
          <w:lang w:val="en-GB"/>
        </w:rPr>
      </w:pPr>
      <w:r>
        <w:rPr>
          <w:lang w:val="en-GB"/>
        </w:rPr>
        <w:t>Depending on whether MBS is treated as a separate QoE service type:</w:t>
      </w:r>
    </w:p>
    <w:p w14:paraId="66F27BED" w14:textId="77777777" w:rsidR="00FE7306" w:rsidRDefault="00F61E2F">
      <w:pPr>
        <w:pStyle w:val="ListParagraph"/>
        <w:numPr>
          <w:ilvl w:val="1"/>
          <w:numId w:val="13"/>
        </w:numPr>
        <w:spacing w:after="0"/>
        <w:rPr>
          <w:lang w:val="en-GB"/>
        </w:rPr>
      </w:pPr>
      <w:r>
        <w:rPr>
          <w:lang w:val="en-GB"/>
        </w:rPr>
        <w:t>If it is, this capability can be specified as a new service type.</w:t>
      </w:r>
    </w:p>
    <w:p w14:paraId="7F8914A7" w14:textId="77777777" w:rsidR="00FE7306" w:rsidRDefault="00F61E2F">
      <w:pPr>
        <w:pStyle w:val="ListParagraph"/>
        <w:numPr>
          <w:ilvl w:val="1"/>
          <w:numId w:val="13"/>
        </w:numPr>
        <w:spacing w:after="0"/>
        <w:rPr>
          <w:lang w:val="en-GB"/>
        </w:rPr>
      </w:pPr>
      <w:r>
        <w:rPr>
          <w:lang w:val="en-GB"/>
        </w:rPr>
        <w:t xml:space="preserve">If it is not, RAN2 needs to decide whether there is a single capability for all supported QoE service types or separate ones are needed. </w:t>
      </w:r>
    </w:p>
    <w:p w14:paraId="48EA378A" w14:textId="77777777" w:rsidR="00FE7306" w:rsidRDefault="00F61E2F">
      <w:pPr>
        <w:pStyle w:val="ListParagraph"/>
        <w:numPr>
          <w:ilvl w:val="0"/>
          <w:numId w:val="13"/>
        </w:numPr>
        <w:spacing w:after="0"/>
        <w:rPr>
          <w:lang w:val="en-GB"/>
        </w:rPr>
      </w:pPr>
      <w:r>
        <w:rPr>
          <w:lang w:val="en-GB"/>
        </w:rPr>
        <w:t>What is a volume of minimum and additional memory sizes for storing QoE reports collected in RRC IDLE/INACTIVE.</w:t>
      </w:r>
    </w:p>
    <w:p w14:paraId="5C618020" w14:textId="77777777" w:rsidR="00FE7306" w:rsidRDefault="00FE7306">
      <w:pPr>
        <w:spacing w:after="0"/>
        <w:rPr>
          <w:lang w:val="en-GB"/>
        </w:rPr>
      </w:pPr>
    </w:p>
    <w:p w14:paraId="237D210C" w14:textId="001F4DD4" w:rsidR="00FE7306" w:rsidRDefault="00F61E2F">
      <w:pPr>
        <w:spacing w:before="240" w:after="0"/>
        <w:rPr>
          <w:lang w:eastAsia="zh-CN"/>
        </w:rPr>
      </w:pPr>
      <w:r>
        <w:rPr>
          <w:lang w:val="en-GB"/>
        </w:rPr>
        <w:t xml:space="preserve">For issue #1, the final decision </w:t>
      </w:r>
      <w:r w:rsidR="0090679C">
        <w:rPr>
          <w:lang w:val="en-GB"/>
        </w:rPr>
        <w:t>will be made by</w:t>
      </w:r>
      <w:r>
        <w:rPr>
          <w:lang w:val="en-GB"/>
        </w:rPr>
        <w:t xml:space="preserve"> RAN3. However, </w:t>
      </w:r>
      <w:r>
        <w:rPr>
          <w:lang w:eastAsia="zh-CN"/>
        </w:rPr>
        <w:t>as per SA4 LS in [2], currently there is no such thing as MBS specific metrics and the UE can only collect QoE metrics for services running over the MBS for which QoE specifications exist, e.g. 3GP-DASH or VR streaming:</w:t>
      </w:r>
    </w:p>
    <w:tbl>
      <w:tblPr>
        <w:tblStyle w:val="TableGrid"/>
        <w:tblW w:w="9350" w:type="dxa"/>
        <w:tblLayout w:type="fixed"/>
        <w:tblLook w:val="04A0" w:firstRow="1" w:lastRow="0" w:firstColumn="1" w:lastColumn="0" w:noHBand="0" w:noVBand="1"/>
      </w:tblPr>
      <w:tblGrid>
        <w:gridCol w:w="9350"/>
      </w:tblGrid>
      <w:tr w:rsidR="00FE7306" w14:paraId="744E6AC1" w14:textId="77777777">
        <w:tc>
          <w:tcPr>
            <w:tcW w:w="9350" w:type="dxa"/>
          </w:tcPr>
          <w:p w14:paraId="12697F89" w14:textId="77777777" w:rsidR="00FE7306" w:rsidRDefault="00F61E2F">
            <w:pPr>
              <w:spacing w:before="240" w:after="0"/>
              <w:rPr>
                <w:lang w:eastAsia="zh-CN"/>
              </w:rPr>
            </w:pPr>
            <w:r>
              <w:t xml:space="preserve">If the contents of an MBS Application Service such as 3GP-DASH or VR Streaming </w:t>
            </w:r>
            <w:r>
              <w:rPr>
                <w:lang w:eastAsia="zh-CN"/>
              </w:rPr>
              <w:t xml:space="preserve">is </w:t>
            </w:r>
            <w:r>
              <w:t>carried over an MBS session, the UE application layer can collect the QoE metrics for that service as defined in TS 26.247 and TS 26.118, respectively. As mentioned in previous LS S4-221289, there are no Rel-17 work and also no ongoing Rel-18 study or normative work on MBS QoE in SA4</w:t>
            </w:r>
            <w:r>
              <w:rPr>
                <w:rFonts w:ascii="Arial" w:eastAsia="DengXian" w:hAnsi="Arial" w:cs="Arial"/>
                <w:iCs/>
                <w:lang w:eastAsia="zh-CN"/>
              </w:rPr>
              <w:t>.</w:t>
            </w:r>
          </w:p>
        </w:tc>
      </w:tr>
    </w:tbl>
    <w:p w14:paraId="7F6272F5" w14:textId="58A163BC" w:rsidR="00FE7306" w:rsidRDefault="00F61E2F">
      <w:pPr>
        <w:spacing w:before="240"/>
        <w:rPr>
          <w:lang w:eastAsia="zh-CN"/>
        </w:rPr>
      </w:pPr>
      <w:r>
        <w:rPr>
          <w:lang w:eastAsia="zh-CN"/>
        </w:rPr>
        <w:t xml:space="preserve">Furthermore, each service can be received not only via MRB bearer, but also via unicast bearer, e.g. in case it is not available via MBS broadcast in some area. Hence, specifying MBS as another service type for QoE is not appropriate. RAN2 can </w:t>
      </w:r>
      <w:r w:rsidR="0090679C">
        <w:rPr>
          <w:lang w:eastAsia="zh-CN"/>
        </w:rPr>
        <w:t xml:space="preserve">then </w:t>
      </w:r>
      <w:r>
        <w:rPr>
          <w:lang w:eastAsia="zh-CN"/>
        </w:rPr>
        <w:t>assume that the capability of QoE measurements in IDLE and INACTIVE states is not directly coupled with MBS service type, but can be specified in relation to the existing QoE service types. We think a single capability can be used to indicate that the UE supports QoE in RRC IDLE/INACTIVE for the services for which it supports QoE measurement collection in RRC Connected state. Based on this we propose the following definition of the corresponding capability:</w:t>
      </w:r>
    </w:p>
    <w:p w14:paraId="7EE12327" w14:textId="77777777" w:rsidR="00FE7306" w:rsidRDefault="00F61E2F">
      <w:pPr>
        <w:pStyle w:val="TAL"/>
        <w:numPr>
          <w:ilvl w:val="0"/>
          <w:numId w:val="14"/>
        </w:numPr>
        <w:rPr>
          <w:rFonts w:eastAsia="DengXian"/>
          <w:b/>
          <w:bCs/>
          <w:iCs/>
        </w:rPr>
      </w:pPr>
      <w:r>
        <w:rPr>
          <w:b/>
          <w:lang w:val="en-US"/>
        </w:rPr>
        <w:lastRenderedPageBreak/>
        <w:t xml:space="preserve">Define a UE capability, e.g. idleInactiveQoE, which “indicates whether the UE supports NR QoE Measurement Collection in RRC_IDLE and RRC_INACTIVE states for the services indicated with </w:t>
      </w:r>
      <w:r>
        <w:rPr>
          <w:rFonts w:eastAsia="DengXian"/>
          <w:b/>
          <w:bCs/>
          <w:i/>
          <w:iCs/>
        </w:rPr>
        <w:t>qoe-Streaming-MeasReport-r17</w:t>
      </w:r>
      <w:r>
        <w:rPr>
          <w:rFonts w:eastAsia="DengXian"/>
          <w:b/>
          <w:bCs/>
          <w:iCs/>
        </w:rPr>
        <w:t xml:space="preserve">, </w:t>
      </w:r>
      <w:r>
        <w:rPr>
          <w:rFonts w:eastAsia="DengXian"/>
          <w:b/>
          <w:bCs/>
          <w:i/>
          <w:iCs/>
        </w:rPr>
        <w:t xml:space="preserve">qoe-MTSI-MeasReport-r17 </w:t>
      </w:r>
      <w:r>
        <w:rPr>
          <w:rFonts w:eastAsia="DengXian"/>
          <w:b/>
          <w:bCs/>
          <w:iCs/>
        </w:rPr>
        <w:t xml:space="preserve">or </w:t>
      </w:r>
      <w:r>
        <w:rPr>
          <w:rFonts w:eastAsia="DengXian"/>
          <w:b/>
          <w:bCs/>
          <w:i/>
          <w:iCs/>
        </w:rPr>
        <w:t>qoe-VR-MeasReport-r17</w:t>
      </w:r>
      <w:r>
        <w:rPr>
          <w:rFonts w:eastAsia="DengXian"/>
          <w:b/>
          <w:bCs/>
          <w:iCs/>
        </w:rPr>
        <w:t>”.</w:t>
      </w:r>
    </w:p>
    <w:p w14:paraId="1E0E7CA4" w14:textId="77777777" w:rsidR="00FE7306" w:rsidRDefault="00F61E2F">
      <w:pPr>
        <w:spacing w:beforeLines="100" w:before="240" w:after="0"/>
      </w:pPr>
      <w:r>
        <w:t>Second issue is related to the memory size required for storing QoE reports collected while the UE is in RRC IDLE and RRC INACTIVE state. RAN2 made the following agreement:</w:t>
      </w:r>
    </w:p>
    <w:p w14:paraId="2CD06197" w14:textId="77777777" w:rsidR="00FE7306" w:rsidRDefault="00F61E2F">
      <w:pPr>
        <w:pStyle w:val="ListParagraph"/>
        <w:numPr>
          <w:ilvl w:val="0"/>
          <w:numId w:val="15"/>
        </w:numPr>
        <w:spacing w:beforeLines="100" w:before="240" w:after="0"/>
        <w:rPr>
          <w:b/>
        </w:rPr>
      </w:pPr>
      <w:r>
        <w:rPr>
          <w:b/>
        </w:rPr>
        <w:t xml:space="preserve">FFS what the minimum AS layer buffer size (at least 64 kBytes, can consider whether larger value is used in UE capability discussions). </w:t>
      </w:r>
    </w:p>
    <w:p w14:paraId="513CB8AB" w14:textId="77777777" w:rsidR="00FE7306" w:rsidRDefault="00F61E2F">
      <w:pPr>
        <w:pStyle w:val="ListParagraph"/>
        <w:numPr>
          <w:ilvl w:val="0"/>
          <w:numId w:val="15"/>
        </w:numPr>
        <w:spacing w:beforeLines="100" w:before="240" w:after="0"/>
        <w:rPr>
          <w:b/>
        </w:rPr>
      </w:pPr>
      <w:r>
        <w:rPr>
          <w:b/>
        </w:rPr>
        <w:t>Introduce AS layer minimum memory requirement for storing Rel-18 QoE reports measured in RRC_IDLE/RRC_INACTIVE. Could have larger values than in Rel-17. FFS what is the minimum size requirement capability. FFS what is the value range of the capability.</w:t>
      </w:r>
    </w:p>
    <w:p w14:paraId="218557A8" w14:textId="77777777" w:rsidR="00FE7306" w:rsidRDefault="00FE7306">
      <w:pPr>
        <w:spacing w:after="0"/>
        <w:rPr>
          <w:lang w:eastAsia="zh-CN"/>
        </w:rPr>
      </w:pPr>
    </w:p>
    <w:p w14:paraId="13809237" w14:textId="77777777" w:rsidR="00FE7306" w:rsidRDefault="00F61E2F">
      <w:pPr>
        <w:spacing w:after="0"/>
        <w:rPr>
          <w:lang w:eastAsia="zh-CN"/>
        </w:rPr>
      </w:pPr>
      <w:r>
        <w:rPr>
          <w:lang w:eastAsia="zh-CN"/>
        </w:rPr>
        <w:t xml:space="preserve">In Rel-17 64kB was agreed </w:t>
      </w:r>
      <w:r>
        <w:rPr>
          <w:lang w:val="en-GB" w:eastAsia="zh-CN"/>
        </w:rPr>
        <w:t>for storing the QoE reports during RAN overload. However, the requirements for Rel-18 are very different from these in Rel-17:</w:t>
      </w:r>
    </w:p>
    <w:p w14:paraId="4675F4B6" w14:textId="77777777" w:rsidR="00FE7306" w:rsidRDefault="00F61E2F">
      <w:pPr>
        <w:pStyle w:val="ListParagraph"/>
        <w:numPr>
          <w:ilvl w:val="0"/>
          <w:numId w:val="16"/>
        </w:numPr>
        <w:spacing w:after="0"/>
        <w:rPr>
          <w:lang w:val="en-GB"/>
        </w:rPr>
      </w:pPr>
      <w:r>
        <w:rPr>
          <w:lang w:val="en-GB"/>
        </w:rPr>
        <w:t>RAN overload is a temporary situation while MBS broadcast reception in RRC</w:t>
      </w:r>
      <w:r>
        <w:rPr>
          <w:lang w:val="en-US"/>
        </w:rPr>
        <w:t>_</w:t>
      </w:r>
      <w:r>
        <w:rPr>
          <w:lang w:val="en-GB"/>
        </w:rPr>
        <w:t>IDLE/INACTIVE states is a normal mode of operation which can last even for the whole duration of the service.</w:t>
      </w:r>
    </w:p>
    <w:p w14:paraId="3639D4D1" w14:textId="77777777" w:rsidR="00FE7306" w:rsidRDefault="00F61E2F">
      <w:pPr>
        <w:pStyle w:val="ListParagraph"/>
        <w:numPr>
          <w:ilvl w:val="0"/>
          <w:numId w:val="16"/>
        </w:numPr>
        <w:spacing w:after="0"/>
        <w:rPr>
          <w:lang w:val="en-GB"/>
        </w:rPr>
      </w:pPr>
      <w:r>
        <w:rPr>
          <w:lang w:val="en-GB"/>
        </w:rPr>
        <w:t>MBS broadcast can be used to deliver many services, including, e.g. video and VR services.</w:t>
      </w:r>
    </w:p>
    <w:p w14:paraId="63A62293" w14:textId="77777777" w:rsidR="00FE7306" w:rsidRDefault="00FE7306">
      <w:pPr>
        <w:spacing w:after="0"/>
        <w:rPr>
          <w:lang w:val="en-GB"/>
        </w:rPr>
      </w:pPr>
    </w:p>
    <w:p w14:paraId="77895AA2" w14:textId="77777777" w:rsidR="00FE7306" w:rsidRDefault="00F61E2F">
      <w:pPr>
        <w:spacing w:after="0"/>
        <w:rPr>
          <w:lang w:val="en-GB"/>
        </w:rPr>
      </w:pPr>
      <w:r>
        <w:rPr>
          <w:lang w:val="en-GB"/>
        </w:rPr>
        <w:t>For both these reasons the memory requirements for MBS broadcast will be much higher than in case of pause/resume mechanism, e.g. SA4 indicated in the past in the LS in [3] that an exemplary QoE trace for VR service produced a QoE report with a size reaching 18 kBytes. It should be noted that according to SA4 specifications, one way of delivering VR service to the UE is via DASH protocol over MBS, as per [4]:</w:t>
      </w:r>
    </w:p>
    <w:tbl>
      <w:tblPr>
        <w:tblStyle w:val="TableGrid"/>
        <w:tblW w:w="9350" w:type="dxa"/>
        <w:tblLayout w:type="fixed"/>
        <w:tblLook w:val="04A0" w:firstRow="1" w:lastRow="0" w:firstColumn="1" w:lastColumn="0" w:noHBand="0" w:noVBand="1"/>
      </w:tblPr>
      <w:tblGrid>
        <w:gridCol w:w="9350"/>
      </w:tblGrid>
      <w:tr w:rsidR="00FE7306" w14:paraId="0475D998" w14:textId="77777777">
        <w:tc>
          <w:tcPr>
            <w:tcW w:w="9350" w:type="dxa"/>
          </w:tcPr>
          <w:p w14:paraId="6B66F501" w14:textId="77777777" w:rsidR="00FE7306" w:rsidRDefault="00F61E2F">
            <w:pPr>
              <w:keepNext/>
              <w:keepLines/>
              <w:spacing w:before="120" w:line="240" w:lineRule="auto"/>
              <w:outlineLvl w:val="3"/>
              <w:rPr>
                <w:rFonts w:ascii="Arial" w:eastAsia="Times New Roman" w:hAnsi="Arial"/>
                <w:sz w:val="24"/>
                <w:lang w:val="en-GB"/>
              </w:rPr>
            </w:pPr>
            <w:r>
              <w:rPr>
                <w:rFonts w:ascii="Arial" w:eastAsia="Times New Roman" w:hAnsi="Arial"/>
                <w:sz w:val="24"/>
                <w:lang w:val="en-GB"/>
              </w:rPr>
              <w:t>4.2.5.8</w:t>
            </w:r>
            <w:r>
              <w:rPr>
                <w:rFonts w:ascii="Arial" w:eastAsia="Times New Roman" w:hAnsi="Arial"/>
                <w:sz w:val="24"/>
                <w:lang w:val="en-GB"/>
              </w:rPr>
              <w:tab/>
              <w:t>Delivery</w:t>
            </w:r>
          </w:p>
          <w:p w14:paraId="67D226D0" w14:textId="77777777" w:rsidR="00FE7306" w:rsidRDefault="00F61E2F">
            <w:pPr>
              <w:spacing w:line="240" w:lineRule="auto"/>
              <w:rPr>
                <w:rFonts w:eastAsia="Times New Roman"/>
                <w:lang w:val="en-GB"/>
              </w:rPr>
            </w:pPr>
            <w:r>
              <w:rPr>
                <w:rFonts w:eastAsia="Times New Roman"/>
                <w:highlight w:val="yellow"/>
                <w:lang w:val="en-GB"/>
              </w:rPr>
              <w:t xml:space="preserve">A panoramic or 360 </w:t>
            </w:r>
            <w:proofErr w:type="gramStart"/>
            <w:r>
              <w:rPr>
                <w:rFonts w:eastAsia="Times New Roman"/>
                <w:highlight w:val="yellow"/>
                <w:lang w:val="en-GB"/>
              </w:rPr>
              <w:t>video</w:t>
            </w:r>
            <w:proofErr w:type="gramEnd"/>
            <w:r>
              <w:rPr>
                <w:rFonts w:eastAsia="Times New Roman"/>
                <w:highlight w:val="yellow"/>
                <w:lang w:val="en-GB"/>
              </w:rPr>
              <w:t xml:space="preserve"> can be delivered in unicast, multicast or broadcast mode.</w:t>
            </w:r>
            <w:r w:rsidRPr="00C26984">
              <w:rPr>
                <w:rFonts w:eastAsia="Times New Roman"/>
                <w:lang w:val="en-GB"/>
              </w:rPr>
              <w:t xml:space="preserve"> In</w:t>
            </w:r>
            <w:r>
              <w:rPr>
                <w:rFonts w:eastAsia="Times New Roman"/>
                <w:lang w:val="en-GB"/>
              </w:rPr>
              <w:t xml:space="preserve"> all of these modes, the delivery can be realized in the form of download or streaming and in real-time or non-real time.</w:t>
            </w:r>
          </w:p>
          <w:p w14:paraId="0427F8B8" w14:textId="77777777" w:rsidR="00FE7306" w:rsidRDefault="00F61E2F">
            <w:pPr>
              <w:spacing w:line="240" w:lineRule="auto"/>
              <w:rPr>
                <w:rFonts w:eastAsia="Times New Roman"/>
                <w:lang w:val="en-GB"/>
              </w:rPr>
            </w:pPr>
            <w:r>
              <w:rPr>
                <w:rFonts w:eastAsia="Times New Roman"/>
                <w:lang w:val="en-GB"/>
              </w:rPr>
              <w:t>For unicast streaming delivery, DASH can be used. For multicast or broadcast delivery, DASH over MBMS can be used.</w:t>
            </w:r>
          </w:p>
          <w:p w14:paraId="0C7D67B0" w14:textId="77777777" w:rsidR="00FE7306" w:rsidRDefault="00F61E2F">
            <w:pPr>
              <w:spacing w:line="240" w:lineRule="auto"/>
              <w:rPr>
                <w:rFonts w:eastAsia="Times New Roman"/>
                <w:lang w:val="en-GB"/>
              </w:rPr>
            </w:pPr>
            <w:r>
              <w:rPr>
                <w:rFonts w:eastAsia="Times New Roman"/>
                <w:lang w:val="en-GB"/>
              </w:rPr>
              <w:t>For unicast delivery, all three approaches mentioned in Clause 4.2.5.6 (single stream, multi-stream, tiled stream) could be used.</w:t>
            </w:r>
          </w:p>
          <w:p w14:paraId="41FF914C" w14:textId="77777777" w:rsidR="00FE7306" w:rsidRDefault="00F61E2F">
            <w:pPr>
              <w:spacing w:line="240" w:lineRule="auto"/>
              <w:rPr>
                <w:rFonts w:eastAsia="Times New Roman"/>
                <w:lang w:val="en-GB"/>
              </w:rPr>
            </w:pPr>
            <w:r>
              <w:rPr>
                <w:rFonts w:eastAsia="Times New Roman"/>
                <w:highlight w:val="yellow"/>
                <w:lang w:val="en-GB"/>
              </w:rPr>
              <w:t>For unicast and MBMS delivery, the DASH client requests appropriate segments depending on the viewport position, available network throughput, device capabilities and service requirements.</w:t>
            </w:r>
            <w:r>
              <w:rPr>
                <w:rFonts w:eastAsia="Times New Roman"/>
                <w:lang w:val="en-GB"/>
              </w:rPr>
              <w:t xml:space="preserve"> E.g. for multi-stream approach, the DASH client requests the stream (representation) that matches best to the expected viewport position (subject to network latency and user movement).</w:t>
            </w:r>
          </w:p>
        </w:tc>
      </w:tr>
    </w:tbl>
    <w:p w14:paraId="38294C8C" w14:textId="77777777" w:rsidR="00FE7306" w:rsidRDefault="00FE7306">
      <w:pPr>
        <w:spacing w:after="0"/>
        <w:rPr>
          <w:lang w:val="en-GB"/>
        </w:rPr>
      </w:pPr>
    </w:p>
    <w:p w14:paraId="236A76C5" w14:textId="77777777" w:rsidR="00FE7306" w:rsidRDefault="00F61E2F">
      <w:pPr>
        <w:spacing w:after="0"/>
        <w:rPr>
          <w:lang w:val="en-GB" w:eastAsia="zh-CN"/>
        </w:rPr>
      </w:pPr>
      <w:r>
        <w:rPr>
          <w:lang w:val="en-GB" w:eastAsia="zh-CN"/>
        </w:rPr>
        <w:t xml:space="preserve">It should also be noted that the AS memory which is used during pause may not always be available for reuse for storing the report in RRC INACTIVE as RAN2 agreed that the reports stored by the UE during pause are preserved when the UE moves to RRC INACTIVE state. This means that there will have to be an additional requirement for AS layer memory size. </w:t>
      </w:r>
    </w:p>
    <w:p w14:paraId="465B2A39" w14:textId="77777777" w:rsidR="00FE7306" w:rsidRDefault="00F61E2F">
      <w:pPr>
        <w:spacing w:before="240" w:after="0"/>
        <w:rPr>
          <w:b/>
          <w:lang w:val="en-GB"/>
        </w:rPr>
      </w:pPr>
      <w:r>
        <w:rPr>
          <w:b/>
          <w:lang w:val="en-GB"/>
        </w:rPr>
        <w:t>Observation 1: The memory requirements for storing QoE reports generated for MBS broadcast in RRC</w:t>
      </w:r>
      <w:r>
        <w:rPr>
          <w:b/>
        </w:rPr>
        <w:t>_</w:t>
      </w:r>
      <w:r>
        <w:rPr>
          <w:b/>
          <w:lang w:val="en-GB"/>
        </w:rPr>
        <w:t>IDLE/INACTIVE states will be much higher than in case of pause due to RAN overload.</w:t>
      </w:r>
    </w:p>
    <w:p w14:paraId="326FB190" w14:textId="77777777" w:rsidR="00FE7306" w:rsidRDefault="00F61E2F">
      <w:pPr>
        <w:spacing w:beforeLines="100" w:before="240"/>
        <w:rPr>
          <w:lang w:val="en-GB"/>
        </w:rPr>
      </w:pPr>
      <w:r>
        <w:rPr>
          <w:lang w:val="en-GB"/>
        </w:rPr>
        <w:t>We think that 128 kBytes is an absolute minimum for the UEs supporting QoE collection in RRC IDLE/INACTIVE states. This means that such UEs should support additional 64 kBytes of memory size for QoE and 64 kBytes which were agreed in Rel-17 can be reused as well when there are no “paused” reports to store.</w:t>
      </w:r>
    </w:p>
    <w:p w14:paraId="46AEEA25" w14:textId="77777777" w:rsidR="00FE7306" w:rsidRDefault="00F61E2F">
      <w:pPr>
        <w:pStyle w:val="TAL"/>
        <w:numPr>
          <w:ilvl w:val="0"/>
          <w:numId w:val="14"/>
        </w:numPr>
        <w:rPr>
          <w:rFonts w:eastAsia="DengXian"/>
          <w:b/>
          <w:bCs/>
          <w:iCs/>
        </w:rPr>
      </w:pPr>
      <w:r>
        <w:rPr>
          <w:b/>
          <w:lang w:val="en-US"/>
        </w:rPr>
        <w:lastRenderedPageBreak/>
        <w:t>The UE supporting QoE collection in RRC IDLE/INACTIVE states should support at least 128 kBytes of AS memory size for QoE, i.e. 64 kBytes in addition to 64 kBytes agreed in Rel-17 for paused reports.</w:t>
      </w:r>
    </w:p>
    <w:p w14:paraId="3F595D3E" w14:textId="77777777" w:rsidR="00FE7306" w:rsidRDefault="00FE7306">
      <w:pPr>
        <w:pStyle w:val="TAL"/>
        <w:rPr>
          <w:rFonts w:eastAsia="DengXian"/>
          <w:b/>
          <w:bCs/>
          <w:iCs/>
        </w:rPr>
      </w:pPr>
    </w:p>
    <w:p w14:paraId="625AD828" w14:textId="77777777" w:rsidR="00FE7306" w:rsidRDefault="00F61E2F">
      <w:pPr>
        <w:pStyle w:val="TAL"/>
        <w:rPr>
          <w:rFonts w:eastAsia="DengXian"/>
          <w:bCs/>
          <w:iCs/>
        </w:rPr>
      </w:pPr>
      <w:r>
        <w:rPr>
          <w:rFonts w:eastAsia="DengXian"/>
          <w:bCs/>
          <w:iCs/>
        </w:rPr>
        <w:t>There is already a conditional mandatory capability defined in section 6 of TS 38.306, which can be modified to capture this requirement: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FE7306" w14:paraId="40626D33" w14:textId="77777777">
        <w:trPr>
          <w:cantSplit/>
          <w:trHeight w:val="255"/>
        </w:trPr>
        <w:tc>
          <w:tcPr>
            <w:tcW w:w="4423" w:type="dxa"/>
          </w:tcPr>
          <w:p w14:paraId="52235F0E" w14:textId="77777777" w:rsidR="00FE7306" w:rsidRDefault="00F61E2F">
            <w:pPr>
              <w:pStyle w:val="TAL"/>
            </w:pPr>
            <w:r>
              <w:t xml:space="preserve">AS layer memory size for QoE </w:t>
            </w:r>
            <w:del w:id="8" w:author="Huawei" w:date="2023-07-05T10:42:00Z">
              <w:r>
                <w:delText xml:space="preserve">paused </w:delText>
              </w:r>
            </w:del>
            <w:r>
              <w:t>measurement reports</w:t>
            </w:r>
          </w:p>
        </w:tc>
        <w:tc>
          <w:tcPr>
            <w:tcW w:w="5207" w:type="dxa"/>
          </w:tcPr>
          <w:p w14:paraId="320284D6" w14:textId="77777777" w:rsidR="00FE7306" w:rsidRDefault="00F61E2F">
            <w:pPr>
              <w:pStyle w:val="TAL"/>
              <w:rPr>
                <w:ins w:id="9" w:author="Huawei" w:date="2023-07-05T10:44:00Z"/>
              </w:rPr>
            </w:pPr>
            <w:ins w:id="10" w:author="Huawei" w:date="2023-07-05T10:48:00Z">
              <w:r>
                <w:t xml:space="preserve">For UEs which support </w:t>
              </w:r>
              <w:r>
                <w:rPr>
                  <w:i/>
                  <w:iCs/>
                </w:rPr>
                <w:t>qoe-Streaming-MeasReport-r17</w:t>
              </w:r>
              <w:r>
                <w:t xml:space="preserve">, </w:t>
              </w:r>
              <w:r>
                <w:rPr>
                  <w:i/>
                  <w:iCs/>
                </w:rPr>
                <w:t>qoe-MTSI-MeasReport-r17</w:t>
              </w:r>
              <w:r>
                <w:t xml:space="preserve"> or </w:t>
              </w:r>
              <w:r>
                <w:rPr>
                  <w:i/>
                  <w:iCs/>
                </w:rPr>
                <w:t>qoe-VR-MeasReport-r17</w:t>
              </w:r>
            </w:ins>
            <w:ins w:id="11" w:author="Huawei" w:date="2023-07-05T10:47:00Z">
              <w:r>
                <w:t>For</w:t>
              </w:r>
            </w:ins>
            <w:ins w:id="12" w:author="Huawei" w:date="2023-07-05T10:48:00Z">
              <w:r>
                <w:t xml:space="preserve">, but do </w:t>
              </w:r>
            </w:ins>
            <w:ins w:id="13" w:author="Huawei" w:date="2023-07-05T10:47:00Z">
              <w:r>
                <w:t xml:space="preserve">not support </w:t>
              </w:r>
              <w:r>
                <w:rPr>
                  <w:i/>
                </w:rPr>
                <w:t>idleInactiveQoE</w:t>
              </w:r>
              <w:r>
                <w:t xml:space="preserve">, </w:t>
              </w:r>
            </w:ins>
            <w:del w:id="14" w:author="Huawei" w:date="2023-07-05T10:48:00Z">
              <w:r>
                <w:delText>I</w:delText>
              </w:r>
            </w:del>
            <w:ins w:id="15" w:author="Huawei" w:date="2023-07-05T10:48:00Z">
              <w:r>
                <w:t>i</w:t>
              </w:r>
            </w:ins>
            <w:r>
              <w:t>t is mandatory to support the minimum AS layer memory size of 64KB for QoE paused measurement reports</w:t>
            </w:r>
            <w:del w:id="16" w:author="Huawei" w:date="2023-07-05T10:48:00Z">
              <w:r>
                <w:delText xml:space="preserve"> for UEs which support </w:delText>
              </w:r>
              <w:r>
                <w:rPr>
                  <w:i/>
                  <w:iCs/>
                </w:rPr>
                <w:delText>qoe-Streaming-MeasReport-r17</w:delText>
              </w:r>
              <w:r>
                <w:delText xml:space="preserve">, </w:delText>
              </w:r>
              <w:r>
                <w:rPr>
                  <w:i/>
                  <w:iCs/>
                </w:rPr>
                <w:delText>qoe-MTSI-MeasReport-r17</w:delText>
              </w:r>
              <w:r>
                <w:delText xml:space="preserve"> or </w:delText>
              </w:r>
              <w:r>
                <w:rPr>
                  <w:i/>
                  <w:iCs/>
                </w:rPr>
                <w:delText>qoe-VR-MeasReport-r17</w:delText>
              </w:r>
            </w:del>
            <w:r>
              <w:t>.</w:t>
            </w:r>
            <w:ins w:id="17" w:author="Huawei" w:date="2023-07-05T10:44:00Z">
              <w:r>
                <w:t xml:space="preserve"> </w:t>
              </w:r>
            </w:ins>
          </w:p>
          <w:p w14:paraId="25AEDD09" w14:textId="77777777" w:rsidR="00FE7306" w:rsidRDefault="00F61E2F">
            <w:pPr>
              <w:pStyle w:val="TAL"/>
            </w:pPr>
            <w:ins w:id="18" w:author="Huawei" w:date="2023-07-05T10:48:00Z">
              <w:r>
                <w:t xml:space="preserve">For UEs which support </w:t>
              </w:r>
              <w:r>
                <w:rPr>
                  <w:i/>
                  <w:iCs/>
                </w:rPr>
                <w:t>qoe-Streaming-MeasReport-r17</w:t>
              </w:r>
              <w:r>
                <w:t xml:space="preserve">, </w:t>
              </w:r>
              <w:r>
                <w:rPr>
                  <w:i/>
                  <w:iCs/>
                </w:rPr>
                <w:t>qoe-MTSI-MeasReport-r17</w:t>
              </w:r>
              <w:r>
                <w:t xml:space="preserve"> or </w:t>
              </w:r>
              <w:r>
                <w:rPr>
                  <w:i/>
                  <w:iCs/>
                </w:rPr>
                <w:t xml:space="preserve">qoe-VR-MeasReport-r17 </w:t>
              </w:r>
              <w:r>
                <w:rPr>
                  <w:iCs/>
                </w:rPr>
                <w:t>and</w:t>
              </w:r>
              <w:r>
                <w:rPr>
                  <w:i/>
                  <w:iCs/>
                </w:rPr>
                <w:t xml:space="preserve"> </w:t>
              </w:r>
              <w:r>
                <w:rPr>
                  <w:i/>
                </w:rPr>
                <w:t>idleInactiveQoE</w:t>
              </w:r>
            </w:ins>
            <w:ins w:id="19" w:author="Huawei" w:date="2023-07-05T10:44:00Z">
              <w:r>
                <w:t xml:space="preserve">, it is mandatory </w:t>
              </w:r>
            </w:ins>
            <w:ins w:id="20" w:author="Huawei" w:date="2023-07-05T10:45:00Z">
              <w:r>
                <w:t xml:space="preserve">to support the minimum AS layer memory size of 128KB for QoE paused measurement reports and </w:t>
              </w:r>
            </w:ins>
            <w:ins w:id="21" w:author="Huawei" w:date="2023-07-05T10:46:00Z">
              <w:r>
                <w:t>QoE measurement reports collected in RRC_IDLE and RRC_INACTIVE states.</w:t>
              </w:r>
            </w:ins>
          </w:p>
        </w:tc>
      </w:tr>
    </w:tbl>
    <w:p w14:paraId="1B040995" w14:textId="77777777" w:rsidR="00FE7306" w:rsidRDefault="00FE7306">
      <w:pPr>
        <w:pStyle w:val="TAL"/>
        <w:rPr>
          <w:rFonts w:eastAsia="DengXian"/>
          <w:bCs/>
          <w:iCs/>
          <w:lang w:val="en-US"/>
        </w:rPr>
      </w:pPr>
    </w:p>
    <w:p w14:paraId="04F05A9F" w14:textId="2E2E8566" w:rsidR="00FE7306" w:rsidRDefault="00F61E2F">
      <w:pPr>
        <w:spacing w:beforeLines="100" w:before="240" w:after="0"/>
        <w:rPr>
          <w:lang w:val="en-GB"/>
        </w:rPr>
      </w:pPr>
      <w:r>
        <w:rPr>
          <w:lang w:val="en-GB"/>
        </w:rPr>
        <w:t>128KB is indeed the minimum memory size which we believe makes the feature usable. However, in real-life scenarios such memory size will likely be quickly exceeded. Hence, it would be useful for the UEs to optionally support additional memory sizes, e.g. 256, 512 and 1024 KB.</w:t>
      </w:r>
    </w:p>
    <w:p w14:paraId="13D12FCD" w14:textId="77777777" w:rsidR="00FE7306" w:rsidRDefault="00F61E2F" w:rsidP="00460880">
      <w:pPr>
        <w:pStyle w:val="TAL"/>
        <w:numPr>
          <w:ilvl w:val="0"/>
          <w:numId w:val="14"/>
        </w:numPr>
        <w:spacing w:before="240"/>
        <w:rPr>
          <w:rFonts w:eastAsia="DengXian"/>
          <w:b/>
          <w:bCs/>
          <w:iCs/>
        </w:rPr>
      </w:pPr>
      <w:r>
        <w:rPr>
          <w:b/>
          <w:lang w:val="en-US"/>
        </w:rPr>
        <w:t xml:space="preserve">The UE may optionally indicate the support of additional memory for storing QoE reports while in RRC IDLE/INACTIVE. At least 256, 512 and 1024KB can be indicated by the UE. </w:t>
      </w:r>
    </w:p>
    <w:p w14:paraId="7B37688B" w14:textId="77777777" w:rsidR="00FE7306" w:rsidRDefault="00F61E2F">
      <w:pPr>
        <w:pStyle w:val="Heading2"/>
        <w:ind w:left="567"/>
      </w:pPr>
      <w:r>
        <w:t>AR/MR service type for QoE</w:t>
      </w:r>
    </w:p>
    <w:p w14:paraId="17B2883F" w14:textId="77777777" w:rsidR="00FE7306" w:rsidRDefault="00F61E2F">
      <w:pPr>
        <w:rPr>
          <w:rFonts w:eastAsiaTheme="minorHAnsi"/>
        </w:rPr>
      </w:pPr>
      <w:r>
        <w:t>RAN3 made the following agreements related to AR/MR service type:</w:t>
      </w:r>
      <w:r>
        <w:rPr>
          <w:color w:val="008000"/>
        </w:rPr>
        <w:t> </w:t>
      </w:r>
    </w:p>
    <w:p w14:paraId="37219428" w14:textId="77777777" w:rsidR="00FE7306" w:rsidRDefault="00F61E2F">
      <w:pPr>
        <w:pStyle w:val="NormalWeb"/>
        <w:numPr>
          <w:ilvl w:val="0"/>
          <w:numId w:val="17"/>
        </w:numPr>
        <w:spacing w:before="120" w:beforeAutospacing="0" w:after="0" w:afterAutospacing="0"/>
        <w:rPr>
          <w:color w:val="008000"/>
          <w:sz w:val="20"/>
          <w:szCs w:val="20"/>
        </w:rPr>
      </w:pPr>
      <w:r>
        <w:rPr>
          <w:color w:val="008000"/>
          <w:sz w:val="20"/>
          <w:szCs w:val="20"/>
        </w:rPr>
        <w:t>AR/MR will be supported as new service type and take R17 legacy QoE mechanism as baseline, pending on SA4’s further progress in R18.</w:t>
      </w:r>
    </w:p>
    <w:p w14:paraId="1E3D9002" w14:textId="77777777" w:rsidR="00FE7306" w:rsidRDefault="00F61E2F">
      <w:pPr>
        <w:pStyle w:val="NormalWeb"/>
        <w:numPr>
          <w:ilvl w:val="0"/>
          <w:numId w:val="17"/>
        </w:numPr>
        <w:spacing w:before="120" w:beforeAutospacing="0" w:after="0" w:afterAutospacing="0"/>
        <w:rPr>
          <w:color w:val="008000"/>
          <w:sz w:val="20"/>
          <w:szCs w:val="20"/>
        </w:rPr>
      </w:pPr>
      <w:r>
        <w:rPr>
          <w:color w:val="008000"/>
          <w:sz w:val="20"/>
          <w:szCs w:val="20"/>
          <w:lang w:val="en-GB"/>
        </w:rPr>
        <w:t>Another common understanding is: the RVQoE discussion on supporting AR/MR and MBS specific metrics may only be triggered based on progress of SA4</w:t>
      </w:r>
    </w:p>
    <w:p w14:paraId="3ACA6F86" w14:textId="77777777" w:rsidR="00FE7306" w:rsidRDefault="00FE7306">
      <w:pPr>
        <w:overflowPunct/>
        <w:autoSpaceDE/>
        <w:autoSpaceDN/>
        <w:adjustRightInd/>
        <w:spacing w:after="0" w:line="240" w:lineRule="auto"/>
        <w:rPr>
          <w:rFonts w:ascii="Calibri" w:eastAsia="Times New Roman" w:hAnsi="Calibri" w:cs="Calibri"/>
          <w:sz w:val="22"/>
        </w:rPr>
      </w:pPr>
    </w:p>
    <w:p w14:paraId="03253682" w14:textId="77777777" w:rsidR="00FE7306" w:rsidRDefault="00F61E2F">
      <w:pPr>
        <w:rPr>
          <w:lang w:val="en-GB" w:eastAsia="zh-CN"/>
        </w:rPr>
      </w:pPr>
      <w:r>
        <w:rPr>
          <w:lang w:val="en-GB" w:eastAsia="zh-CN"/>
        </w:rPr>
        <w:t xml:space="preserve">As can be seen from the wording of the agreements, the intention from RAN3 is to support AR/MR as a new service type, similarly as other service types were specified in Rel-17. However, this is still pending SA4 progress. </w:t>
      </w:r>
      <w:r>
        <w:t>The work on AR/MR QoE metrics in SA4 is ongoing and the result will be included in TS 26.119. Hence, the description of RAN2 capability can be prepared, even though it is not yet entirely clear whether SA4 will manage to finalize the work in Rel-18.</w:t>
      </w:r>
      <w:r>
        <w:rPr>
          <w:lang w:val="en-GB" w:eastAsia="zh-CN"/>
        </w:rPr>
        <w:t xml:space="preserve"> When it comes to the capability for RVQoE for AR/MR, since it is not clear what metrics will be specified by SA4, it is premature for RAN2 to agree on the related capability at the moment.</w:t>
      </w:r>
    </w:p>
    <w:p w14:paraId="45A8D000" w14:textId="77777777" w:rsidR="00FE7306" w:rsidRDefault="00F61E2F">
      <w:pPr>
        <w:pStyle w:val="TAL"/>
        <w:numPr>
          <w:ilvl w:val="0"/>
          <w:numId w:val="14"/>
        </w:numPr>
        <w:rPr>
          <w:rFonts w:eastAsia="DengXian"/>
          <w:b/>
          <w:bCs/>
          <w:iCs/>
        </w:rPr>
      </w:pPr>
      <w:r>
        <w:rPr>
          <w:b/>
          <w:lang w:val="en-US"/>
        </w:rPr>
        <w:t>Define a UE capability, e.g. qoe-AR-MeasReport, which “indicates whether the UE supports NR QoE Measurement Collection for AR/MR services, see TS 26.119.</w:t>
      </w:r>
      <w:r>
        <w:rPr>
          <w:rFonts w:eastAsia="DengXian"/>
          <w:b/>
          <w:bCs/>
          <w:iCs/>
        </w:rPr>
        <w:t>”.</w:t>
      </w:r>
    </w:p>
    <w:p w14:paraId="7840615F" w14:textId="77777777" w:rsidR="00FE7306" w:rsidRDefault="00FE7306">
      <w:pPr>
        <w:pStyle w:val="TAL"/>
        <w:ind w:left="420"/>
        <w:rPr>
          <w:rFonts w:eastAsia="DengXian"/>
          <w:b/>
          <w:bCs/>
          <w:iCs/>
        </w:rPr>
      </w:pPr>
    </w:p>
    <w:p w14:paraId="58E47465" w14:textId="77777777" w:rsidR="00FE7306" w:rsidRDefault="00F61E2F">
      <w:pPr>
        <w:pStyle w:val="TAL"/>
        <w:numPr>
          <w:ilvl w:val="0"/>
          <w:numId w:val="14"/>
        </w:numPr>
        <w:rPr>
          <w:rFonts w:eastAsia="DengXian"/>
          <w:b/>
          <w:bCs/>
          <w:iCs/>
        </w:rPr>
      </w:pPr>
      <w:r>
        <w:rPr>
          <w:b/>
          <w:lang w:val="en-US"/>
        </w:rPr>
        <w:t xml:space="preserve">RAN2 should wait for further SA4 and RAN3 progress on support of RAN visible QoE metrics for AR/MR before specifying AR/MR capability for RAN visible QoE. </w:t>
      </w:r>
    </w:p>
    <w:p w14:paraId="1C15DA53" w14:textId="77777777" w:rsidR="00FE7306" w:rsidRDefault="00FE7306">
      <w:pPr>
        <w:pStyle w:val="TAL"/>
        <w:ind w:left="420"/>
        <w:rPr>
          <w:rFonts w:eastAsia="DengXian"/>
          <w:b/>
          <w:bCs/>
          <w:iCs/>
        </w:rPr>
      </w:pPr>
    </w:p>
    <w:p w14:paraId="0D6555C8" w14:textId="77777777" w:rsidR="00FE7306" w:rsidRDefault="00FE7306">
      <w:pPr>
        <w:rPr>
          <w:b/>
          <w:lang w:val="en-GB" w:eastAsia="zh-CN"/>
        </w:rPr>
      </w:pPr>
    </w:p>
    <w:p w14:paraId="039892E8" w14:textId="77777777" w:rsidR="00FE7306" w:rsidRDefault="00F61E2F">
      <w:pPr>
        <w:pStyle w:val="Heading2"/>
        <w:ind w:left="567"/>
      </w:pPr>
      <w:r>
        <w:lastRenderedPageBreak/>
        <w:t>SRB5 support</w:t>
      </w:r>
    </w:p>
    <w:p w14:paraId="0F487912" w14:textId="77777777" w:rsidR="00FE7306" w:rsidRDefault="00F61E2F">
      <w:pPr>
        <w:rPr>
          <w:lang w:val="en-GB" w:eastAsia="zh-CN"/>
        </w:rPr>
      </w:pPr>
      <w:r>
        <w:rPr>
          <w:lang w:val="en-GB" w:eastAsia="zh-CN"/>
        </w:rPr>
        <w:t>The definition of this capability seems rather straightforward. Even though RAN2 and RAN3 still need to resolve a number of issues for QoE support in NR-DC, they do not seem to impact capability description. We propose to specify it as follows:</w:t>
      </w:r>
    </w:p>
    <w:p w14:paraId="6A595026" w14:textId="77777777" w:rsidR="00FE7306" w:rsidRDefault="00F61E2F">
      <w:pPr>
        <w:pStyle w:val="TAL"/>
        <w:numPr>
          <w:ilvl w:val="0"/>
          <w:numId w:val="14"/>
        </w:numPr>
        <w:rPr>
          <w:rFonts w:eastAsia="DengXian"/>
          <w:b/>
          <w:bCs/>
          <w:iCs/>
        </w:rPr>
      </w:pPr>
      <w:r>
        <w:rPr>
          <w:b/>
          <w:lang w:val="en-US"/>
        </w:rPr>
        <w:t xml:space="preserve">Define a UE capability, e.g. srb5, which “Indicates whether the UE supports direct SRB5 between the SN and the UE as specified in TS 37.340 [7]. A UE supporting this feature shall also indicate support of </w:t>
      </w:r>
      <w:r>
        <w:rPr>
          <w:rFonts w:eastAsia="DengXian"/>
          <w:b/>
          <w:bCs/>
          <w:i/>
          <w:iCs/>
        </w:rPr>
        <w:t>qoe-Streaming-MeasReport-r17</w:t>
      </w:r>
      <w:r>
        <w:rPr>
          <w:rFonts w:eastAsia="DengXian"/>
          <w:b/>
          <w:bCs/>
          <w:iCs/>
        </w:rPr>
        <w:t xml:space="preserve">, </w:t>
      </w:r>
      <w:r>
        <w:rPr>
          <w:rFonts w:eastAsia="DengXian"/>
          <w:b/>
          <w:bCs/>
          <w:i/>
          <w:iCs/>
        </w:rPr>
        <w:t xml:space="preserve">qoe-MTSI-MeasReport-r17 </w:t>
      </w:r>
      <w:r>
        <w:rPr>
          <w:rFonts w:eastAsia="DengXian"/>
          <w:b/>
          <w:bCs/>
          <w:iCs/>
        </w:rPr>
        <w:t xml:space="preserve">or </w:t>
      </w:r>
      <w:r>
        <w:rPr>
          <w:rFonts w:eastAsia="DengXian"/>
          <w:b/>
          <w:bCs/>
          <w:i/>
          <w:iCs/>
        </w:rPr>
        <w:t>qoe-VR-MeasReport-r17</w:t>
      </w:r>
      <w:r>
        <w:rPr>
          <w:rFonts w:eastAsia="DengXian"/>
          <w:b/>
          <w:bCs/>
          <w:iCs/>
        </w:rPr>
        <w:t>”.</w:t>
      </w:r>
    </w:p>
    <w:p w14:paraId="5448FCDE" w14:textId="77777777" w:rsidR="00FE7306" w:rsidRDefault="00FE7306">
      <w:pPr>
        <w:rPr>
          <w:b/>
          <w:lang w:val="en-GB" w:eastAsia="zh-CN"/>
        </w:rPr>
      </w:pPr>
    </w:p>
    <w:p w14:paraId="0F19B548" w14:textId="77777777" w:rsidR="00FE7306" w:rsidRDefault="00F61E2F">
      <w:pPr>
        <w:pStyle w:val="Heading2"/>
        <w:ind w:left="567"/>
      </w:pPr>
      <w:r>
        <w:t>Buffer level threshold based QoE report triggering</w:t>
      </w:r>
    </w:p>
    <w:p w14:paraId="684C3C75" w14:textId="7511BC68" w:rsidR="00FE7306" w:rsidRDefault="00F61E2F">
      <w:r>
        <w:t>The design of the feature is not yet clear and there are still many open issues which need to be decided by RAN3 in cooperation with SA4. In particular, it is still unclear whether/which SA4 specifications will support this feature in Rel-18. RAN visible QoE is currently supported for streaming and VR services, but it is not yet clear whether SA4 is going to update both of these specifications to introduce threshold-based report triggering</w:t>
      </w:r>
      <w:r w:rsidR="004D3BF9">
        <w:t xml:space="preserve">, especially considering their recent LS in [5] where they clarified that </w:t>
      </w:r>
      <w:r w:rsidR="004D3BF9" w:rsidRPr="004D3BF9">
        <w:rPr>
          <w:i/>
        </w:rPr>
        <w:t>“</w:t>
      </w:r>
      <w:r w:rsidR="004D3BF9" w:rsidRPr="004D3BF9">
        <w:rPr>
          <w:i/>
          <w:lang w:eastAsia="zh-CN"/>
        </w:rPr>
        <w:t>buffer level on its own is not an appropriate information for RAN to be able to assist the application due to a variety of reasons</w:t>
      </w:r>
      <w:r w:rsidR="004D3BF9" w:rsidRPr="004D3BF9">
        <w:rPr>
          <w:lang w:eastAsia="zh-CN"/>
        </w:rPr>
        <w:t>”</w:t>
      </w:r>
      <w:r w:rsidR="004D3BF9">
        <w:rPr>
          <w:lang w:eastAsia="zh-CN"/>
        </w:rPr>
        <w:t xml:space="preserve"> and that </w:t>
      </w:r>
      <w:r w:rsidR="004D3BF9">
        <w:rPr>
          <w:rFonts w:eastAsiaTheme="minorEastAsia"/>
        </w:rPr>
        <w:t>SA4 “</w:t>
      </w:r>
      <w:r w:rsidR="004D3BF9" w:rsidRPr="004D3BF9">
        <w:rPr>
          <w:i/>
        </w:rPr>
        <w:t>does not confirm RAN2 preference that application layer triggering of buffer level threshold-based RVQoE reporting can be supported in Rel-18 based on the corresponding QoE configuration received from the AS layer</w:t>
      </w:r>
      <w:r w:rsidR="004D3BF9">
        <w:t>”</w:t>
      </w:r>
      <w:r>
        <w:t xml:space="preserve">. RAN2 </w:t>
      </w:r>
      <w:r w:rsidR="00AC53C9">
        <w:t>should then</w:t>
      </w:r>
      <w:r>
        <w:t xml:space="preserve"> wait for further SA4 progress</w:t>
      </w:r>
      <w:r w:rsidR="00AC53C9">
        <w:t xml:space="preserve"> on this topic</w:t>
      </w:r>
      <w:r>
        <w:t>.</w:t>
      </w:r>
    </w:p>
    <w:p w14:paraId="4FB84246" w14:textId="447A43E4" w:rsidR="00FE7306" w:rsidRDefault="00AC53C9" w:rsidP="00AC53C9">
      <w:pPr>
        <w:pStyle w:val="TAL"/>
        <w:rPr>
          <w:rFonts w:eastAsia="DengXian"/>
          <w:b/>
          <w:bCs/>
          <w:iCs/>
        </w:rPr>
      </w:pPr>
      <w:r>
        <w:rPr>
          <w:b/>
          <w:lang w:val="en-US"/>
        </w:rPr>
        <w:t>Observation 2: Threshold based RVQoE needs further discussion in SA4 before any progress can be made in RAN2 (including potential capability definition)</w:t>
      </w:r>
      <w:r w:rsidR="00F61E2F">
        <w:rPr>
          <w:b/>
          <w:lang w:val="en-US"/>
        </w:rPr>
        <w:t>.</w:t>
      </w:r>
    </w:p>
    <w:p w14:paraId="2D554CBE" w14:textId="0F31A768" w:rsidR="007A01A6" w:rsidRDefault="007A01A6" w:rsidP="007A01A6">
      <w:pPr>
        <w:pStyle w:val="Heading2"/>
        <w:ind w:left="567"/>
      </w:pPr>
      <w:bookmarkStart w:id="22" w:name="_Hlk47445522"/>
      <w:bookmarkEnd w:id="4"/>
      <w:bookmarkEnd w:id="5"/>
      <w:bookmarkEnd w:id="6"/>
      <w:bookmarkEnd w:id="7"/>
      <w:r>
        <w:t>Other QoE enhancements</w:t>
      </w:r>
    </w:p>
    <w:p w14:paraId="4879EEE2" w14:textId="18EDA1EA" w:rsidR="00FE7306" w:rsidRDefault="007A01A6">
      <w:pPr>
        <w:spacing w:beforeLines="100" w:before="240" w:after="0"/>
        <w:rPr>
          <w:lang w:eastAsia="zh-CN"/>
        </w:rPr>
      </w:pPr>
      <w:r w:rsidRPr="007A01A6">
        <w:t xml:space="preserve">Another feature </w:t>
      </w:r>
      <w:r>
        <w:t xml:space="preserve">which is being specified as part of Rel-18 QoE enhancements is QoE continuity during inter-RAT handover. </w:t>
      </w:r>
      <w:r w:rsidR="00A43A00">
        <w:t xml:space="preserve">At the moment, the UE has separate capabilities for QoE over LTE and QoE over NR. During the handover from NR to LTE, the UE will receive </w:t>
      </w:r>
      <w:r w:rsidR="00A43A00">
        <w:rPr>
          <w:lang w:eastAsia="zh-CN"/>
        </w:rPr>
        <w:t>MobilityFromNRCommand message containing LTE RRC configuration prepared by the target eNB. Based on the knowledge of UE LTE capabilities, the eNB can decide which QoE configuration to keep and will include it in the handover command. The equivalent procedure applies for the handover from LTE to gNB and there is no need to specify an additional capability just for QoE continuity as the existing NR and LTE QoE capabilities are sufficient to support QoE continuity</w:t>
      </w:r>
      <w:r w:rsidR="003B6094">
        <w:rPr>
          <w:lang w:eastAsia="zh-CN"/>
        </w:rPr>
        <w:t xml:space="preserve"> feature</w:t>
      </w:r>
      <w:r w:rsidR="00A43A00">
        <w:rPr>
          <w:lang w:eastAsia="zh-CN"/>
        </w:rPr>
        <w:t xml:space="preserve">. </w:t>
      </w:r>
    </w:p>
    <w:p w14:paraId="0D402710" w14:textId="1FE329FA" w:rsidR="00A43A00" w:rsidRPr="00A43A00" w:rsidRDefault="00A43A00">
      <w:pPr>
        <w:spacing w:beforeLines="100" w:before="240" w:after="0"/>
        <w:rPr>
          <w:b/>
        </w:rPr>
      </w:pPr>
      <w:r>
        <w:rPr>
          <w:b/>
        </w:rPr>
        <w:t xml:space="preserve">Observation </w:t>
      </w:r>
      <w:r w:rsidR="00D7588A">
        <w:rPr>
          <w:b/>
        </w:rPr>
        <w:t>3</w:t>
      </w:r>
      <w:r>
        <w:rPr>
          <w:b/>
        </w:rPr>
        <w:t>: T</w:t>
      </w:r>
      <w:r w:rsidRPr="00A43A00">
        <w:rPr>
          <w:b/>
        </w:rPr>
        <w:t xml:space="preserve">here is no need to specify an additional capability just for QoE continuity as the existing NR and LTE QoE capabilities are sufficient to </w:t>
      </w:r>
      <w:r>
        <w:rPr>
          <w:b/>
        </w:rPr>
        <w:t xml:space="preserve">support </w:t>
      </w:r>
      <w:r w:rsidRPr="00A43A00">
        <w:rPr>
          <w:b/>
        </w:rPr>
        <w:t>QoE continuity</w:t>
      </w:r>
      <w:r w:rsidR="003B6094">
        <w:rPr>
          <w:b/>
        </w:rPr>
        <w:t xml:space="preserve"> feature</w:t>
      </w:r>
      <w:r w:rsidRPr="00A43A00">
        <w:rPr>
          <w:b/>
        </w:rPr>
        <w:t>.</w:t>
      </w:r>
    </w:p>
    <w:bookmarkEnd w:id="22"/>
    <w:p w14:paraId="08CE3955" w14:textId="77777777" w:rsidR="00FE7306" w:rsidRDefault="00F61E2F">
      <w:pPr>
        <w:pStyle w:val="Heading1"/>
      </w:pPr>
      <w:r>
        <w:t>Conclusion</w:t>
      </w:r>
    </w:p>
    <w:p w14:paraId="6A7A3490" w14:textId="20D8B2B0" w:rsidR="00FE7306" w:rsidRDefault="00F61E2F">
      <w:pPr>
        <w:rPr>
          <w:lang w:val="en-GB" w:eastAsia="zh-CN"/>
        </w:rPr>
      </w:pPr>
      <w:r>
        <w:rPr>
          <w:lang w:val="en-GB" w:eastAsia="zh-CN"/>
        </w:rPr>
        <w:t>Based on the discussion in this paper, the following observations and proposals are made:</w:t>
      </w:r>
    </w:p>
    <w:p w14:paraId="52D5E44C" w14:textId="77777777" w:rsidR="00460880" w:rsidRDefault="00460880" w:rsidP="00460880">
      <w:pPr>
        <w:spacing w:before="240" w:after="0"/>
        <w:rPr>
          <w:b/>
          <w:lang w:val="en-GB"/>
        </w:rPr>
      </w:pPr>
      <w:r>
        <w:rPr>
          <w:b/>
          <w:lang w:val="en-GB"/>
        </w:rPr>
        <w:t>Observation 1: The memory requirements for storing QoE reports generated for MBS broadcast in RRC</w:t>
      </w:r>
      <w:r>
        <w:rPr>
          <w:b/>
        </w:rPr>
        <w:t>_</w:t>
      </w:r>
      <w:r>
        <w:rPr>
          <w:b/>
          <w:lang w:val="en-GB"/>
        </w:rPr>
        <w:t>IDLE/INACTIVE states will be much higher than in case of pause due to RAN overload.</w:t>
      </w:r>
    </w:p>
    <w:p w14:paraId="72A41DCF" w14:textId="77777777" w:rsidR="00460880" w:rsidRDefault="00460880" w:rsidP="00460880">
      <w:pPr>
        <w:pStyle w:val="TAL"/>
        <w:spacing w:before="240"/>
        <w:rPr>
          <w:rFonts w:eastAsia="DengXian"/>
          <w:b/>
          <w:bCs/>
          <w:iCs/>
        </w:rPr>
      </w:pPr>
      <w:r>
        <w:rPr>
          <w:b/>
          <w:lang w:val="en-US"/>
        </w:rPr>
        <w:t>Observation 2: Threshold based RVQoE needs further discussion in SA4 before any progress can be made in RAN2 (including potential capability definition).</w:t>
      </w:r>
    </w:p>
    <w:p w14:paraId="1D18851D" w14:textId="77777777" w:rsidR="00460880" w:rsidRPr="00A43A00" w:rsidRDefault="00460880" w:rsidP="00460880">
      <w:pPr>
        <w:spacing w:beforeLines="100" w:before="240" w:after="0"/>
        <w:rPr>
          <w:b/>
        </w:rPr>
      </w:pPr>
      <w:r>
        <w:rPr>
          <w:b/>
        </w:rPr>
        <w:t>Observation 3: T</w:t>
      </w:r>
      <w:r w:rsidRPr="00A43A00">
        <w:rPr>
          <w:b/>
        </w:rPr>
        <w:t xml:space="preserve">here is no need to specify an additional capability just for QoE continuity as the existing NR and LTE QoE capabilities are sufficient to </w:t>
      </w:r>
      <w:r>
        <w:rPr>
          <w:b/>
        </w:rPr>
        <w:t xml:space="preserve">support </w:t>
      </w:r>
      <w:r w:rsidRPr="00A43A00">
        <w:rPr>
          <w:b/>
        </w:rPr>
        <w:t>QoE continuity</w:t>
      </w:r>
      <w:r>
        <w:rPr>
          <w:b/>
        </w:rPr>
        <w:t xml:space="preserve"> feature</w:t>
      </w:r>
      <w:r w:rsidRPr="00A43A00">
        <w:rPr>
          <w:b/>
        </w:rPr>
        <w:t>.</w:t>
      </w:r>
    </w:p>
    <w:bookmarkEnd w:id="3"/>
    <w:p w14:paraId="12FAC8AD" w14:textId="77777777" w:rsidR="00460880" w:rsidRDefault="00460880" w:rsidP="00460880">
      <w:pPr>
        <w:pStyle w:val="TAL"/>
        <w:numPr>
          <w:ilvl w:val="0"/>
          <w:numId w:val="19"/>
        </w:numPr>
        <w:spacing w:before="240"/>
        <w:rPr>
          <w:rFonts w:eastAsia="DengXian"/>
          <w:b/>
          <w:bCs/>
          <w:iCs/>
        </w:rPr>
      </w:pPr>
      <w:r>
        <w:rPr>
          <w:b/>
          <w:lang w:val="en-US"/>
        </w:rPr>
        <w:lastRenderedPageBreak/>
        <w:t xml:space="preserve">Define a UE capability, e.g. idleInactiveQoE, which “indicates whether the UE supports NR QoE Measurement Collection in RRC_IDLE and RRC_INACTIVE states for the services indicated with </w:t>
      </w:r>
      <w:r>
        <w:rPr>
          <w:rFonts w:eastAsia="DengXian"/>
          <w:b/>
          <w:bCs/>
          <w:i/>
          <w:iCs/>
        </w:rPr>
        <w:t>qoe-Streaming-MeasReport-r17</w:t>
      </w:r>
      <w:r>
        <w:rPr>
          <w:rFonts w:eastAsia="DengXian"/>
          <w:b/>
          <w:bCs/>
          <w:iCs/>
        </w:rPr>
        <w:t xml:space="preserve">, </w:t>
      </w:r>
      <w:r>
        <w:rPr>
          <w:rFonts w:eastAsia="DengXian"/>
          <w:b/>
          <w:bCs/>
          <w:i/>
          <w:iCs/>
        </w:rPr>
        <w:t xml:space="preserve">qoe-MTSI-MeasReport-r17 </w:t>
      </w:r>
      <w:r>
        <w:rPr>
          <w:rFonts w:eastAsia="DengXian"/>
          <w:b/>
          <w:bCs/>
          <w:iCs/>
        </w:rPr>
        <w:t xml:space="preserve">or </w:t>
      </w:r>
      <w:r>
        <w:rPr>
          <w:rFonts w:eastAsia="DengXian"/>
          <w:b/>
          <w:bCs/>
          <w:i/>
          <w:iCs/>
        </w:rPr>
        <w:t>qoe-VR-MeasReport-r17</w:t>
      </w:r>
      <w:r>
        <w:rPr>
          <w:rFonts w:eastAsia="DengXian"/>
          <w:b/>
          <w:bCs/>
          <w:iCs/>
        </w:rPr>
        <w:t>”.</w:t>
      </w:r>
    </w:p>
    <w:p w14:paraId="78AFA6FA" w14:textId="77777777" w:rsidR="00460880" w:rsidRDefault="00460880" w:rsidP="00460880">
      <w:pPr>
        <w:pStyle w:val="TAL"/>
        <w:numPr>
          <w:ilvl w:val="0"/>
          <w:numId w:val="19"/>
        </w:numPr>
        <w:spacing w:before="240"/>
        <w:rPr>
          <w:rFonts w:eastAsia="DengXian"/>
          <w:b/>
          <w:bCs/>
          <w:iCs/>
        </w:rPr>
      </w:pPr>
      <w:r>
        <w:rPr>
          <w:b/>
          <w:lang w:val="en-US"/>
        </w:rPr>
        <w:t>The UE supporting QoE collection in RRC IDLE/INACTIVE states should support at least 128 kBytes of AS memory size for QoE, i.e. 64 kBytes in addition to 64 kBytes agreed in Rel-17 for paused reports.</w:t>
      </w:r>
    </w:p>
    <w:p w14:paraId="05A5B6A4" w14:textId="77777777" w:rsidR="00460880" w:rsidRDefault="00460880" w:rsidP="00460880">
      <w:pPr>
        <w:pStyle w:val="TAL"/>
        <w:numPr>
          <w:ilvl w:val="0"/>
          <w:numId w:val="19"/>
        </w:numPr>
        <w:spacing w:before="240"/>
        <w:rPr>
          <w:rFonts w:eastAsia="DengXian"/>
          <w:b/>
          <w:bCs/>
          <w:iCs/>
        </w:rPr>
      </w:pPr>
      <w:r>
        <w:rPr>
          <w:b/>
          <w:lang w:val="en-US"/>
        </w:rPr>
        <w:t xml:space="preserve">The UE may optionally indicate the support of additional memory for storing QoE reports while in RRC IDLE/INACTIVE. At least 256, 512 and 1024KB can be indicated by the UE. </w:t>
      </w:r>
    </w:p>
    <w:p w14:paraId="101F2174" w14:textId="30C8D00F" w:rsidR="00460880" w:rsidRPr="00460880" w:rsidRDefault="00460880" w:rsidP="00460880">
      <w:pPr>
        <w:pStyle w:val="TAL"/>
        <w:numPr>
          <w:ilvl w:val="0"/>
          <w:numId w:val="19"/>
        </w:numPr>
        <w:spacing w:before="240"/>
        <w:rPr>
          <w:rFonts w:eastAsia="DengXian"/>
          <w:b/>
          <w:bCs/>
          <w:iCs/>
        </w:rPr>
      </w:pPr>
      <w:r>
        <w:rPr>
          <w:b/>
          <w:lang w:val="en-US"/>
        </w:rPr>
        <w:t>Define a UE capability, e.g. qoe-AR-MeasReport, which “indicates whether the UE supports NR QoE Measurement Collection for AR/MR services, see TS 26.119.</w:t>
      </w:r>
      <w:r>
        <w:rPr>
          <w:rFonts w:eastAsia="DengXian"/>
          <w:b/>
          <w:bCs/>
          <w:iCs/>
        </w:rPr>
        <w:t>”.</w:t>
      </w:r>
    </w:p>
    <w:p w14:paraId="155307AE" w14:textId="77777777" w:rsidR="00460880" w:rsidRDefault="00460880" w:rsidP="00460880">
      <w:pPr>
        <w:pStyle w:val="TAL"/>
        <w:numPr>
          <w:ilvl w:val="0"/>
          <w:numId w:val="19"/>
        </w:numPr>
        <w:spacing w:before="240"/>
        <w:rPr>
          <w:rFonts w:eastAsia="DengXian"/>
          <w:b/>
          <w:bCs/>
          <w:iCs/>
        </w:rPr>
      </w:pPr>
      <w:r>
        <w:rPr>
          <w:b/>
          <w:lang w:val="en-US"/>
        </w:rPr>
        <w:t xml:space="preserve">RAN2 should wait for further SA4 and RAN3 progress on support of RAN visible QoE metrics for AR/MR before specifying AR/MR capability for RAN visible QoE. </w:t>
      </w:r>
    </w:p>
    <w:p w14:paraId="2D5A5BF4" w14:textId="77777777" w:rsidR="00460880" w:rsidRDefault="00460880" w:rsidP="00460880">
      <w:pPr>
        <w:pStyle w:val="TAL"/>
        <w:numPr>
          <w:ilvl w:val="0"/>
          <w:numId w:val="19"/>
        </w:numPr>
        <w:spacing w:before="240"/>
        <w:rPr>
          <w:rFonts w:eastAsia="DengXian"/>
          <w:b/>
          <w:bCs/>
          <w:iCs/>
        </w:rPr>
      </w:pPr>
      <w:r>
        <w:rPr>
          <w:b/>
          <w:lang w:val="en-US"/>
        </w:rPr>
        <w:t xml:space="preserve">Define a UE capability, e.g. srb5, which “Indicates whether the UE supports direct SRB5 between the SN and the UE as specified in TS 37.340 [7]. A UE supporting this feature shall also indicate support of </w:t>
      </w:r>
      <w:r>
        <w:rPr>
          <w:rFonts w:eastAsia="DengXian"/>
          <w:b/>
          <w:bCs/>
          <w:i/>
          <w:iCs/>
        </w:rPr>
        <w:t>qoe-Streaming-MeasReport-r17</w:t>
      </w:r>
      <w:r>
        <w:rPr>
          <w:rFonts w:eastAsia="DengXian"/>
          <w:b/>
          <w:bCs/>
          <w:iCs/>
        </w:rPr>
        <w:t xml:space="preserve">, </w:t>
      </w:r>
      <w:r>
        <w:rPr>
          <w:rFonts w:eastAsia="DengXian"/>
          <w:b/>
          <w:bCs/>
          <w:i/>
          <w:iCs/>
        </w:rPr>
        <w:t xml:space="preserve">qoe-MTSI-MeasReport-r17 </w:t>
      </w:r>
      <w:r>
        <w:rPr>
          <w:rFonts w:eastAsia="DengXian"/>
          <w:b/>
          <w:bCs/>
          <w:iCs/>
        </w:rPr>
        <w:t xml:space="preserve">or </w:t>
      </w:r>
      <w:r>
        <w:rPr>
          <w:rFonts w:eastAsia="DengXian"/>
          <w:b/>
          <w:bCs/>
          <w:i/>
          <w:iCs/>
        </w:rPr>
        <w:t>qoe-VR-MeasReport-r17</w:t>
      </w:r>
      <w:r>
        <w:rPr>
          <w:rFonts w:eastAsia="DengXian"/>
          <w:b/>
          <w:bCs/>
          <w:iCs/>
        </w:rPr>
        <w:t>”.</w:t>
      </w:r>
    </w:p>
    <w:p w14:paraId="1112A50F" w14:textId="77777777" w:rsidR="00460880" w:rsidRDefault="00460880" w:rsidP="00460880">
      <w:pPr>
        <w:pStyle w:val="TAL"/>
        <w:rPr>
          <w:b/>
          <w:lang w:val="en-US"/>
        </w:rPr>
      </w:pPr>
    </w:p>
    <w:p w14:paraId="350B0821" w14:textId="77777777" w:rsidR="00FE7306" w:rsidRDefault="00F61E2F">
      <w:pPr>
        <w:pStyle w:val="Heading1"/>
      </w:pPr>
      <w:r>
        <w:t>References</w:t>
      </w:r>
    </w:p>
    <w:p w14:paraId="0343A78B" w14:textId="77777777" w:rsidR="00FE7306" w:rsidRDefault="00F61E2F">
      <w:pPr>
        <w:spacing w:after="0"/>
        <w:rPr>
          <w:lang w:eastAsia="zh-CN"/>
        </w:rPr>
      </w:pPr>
      <w:r>
        <w:rPr>
          <w:rFonts w:hint="eastAsia"/>
          <w:lang w:eastAsia="zh-CN"/>
        </w:rPr>
        <w:t>[</w:t>
      </w:r>
      <w:r>
        <w:rPr>
          <w:lang w:eastAsia="zh-CN"/>
        </w:rPr>
        <w:t>1] RP-221803, Enhancement on NR QoE management and optimizations for diverse services, China Unicom</w:t>
      </w:r>
    </w:p>
    <w:p w14:paraId="557F32E5" w14:textId="77777777" w:rsidR="00FE7306" w:rsidRDefault="00F61E2F">
      <w:pPr>
        <w:spacing w:after="0"/>
        <w:rPr>
          <w:lang w:eastAsia="zh-CN"/>
        </w:rPr>
      </w:pPr>
      <w:r>
        <w:rPr>
          <w:rFonts w:hint="eastAsia"/>
          <w:lang w:eastAsia="zh-CN"/>
        </w:rPr>
        <w:t>[</w:t>
      </w:r>
      <w:r>
        <w:rPr>
          <w:lang w:eastAsia="zh-CN"/>
        </w:rPr>
        <w:t>2] S4-230347, Reply LS on ID of MBS session in MBS QoE configuration, SA4</w:t>
      </w:r>
    </w:p>
    <w:p w14:paraId="0BD06C44" w14:textId="77777777" w:rsidR="00FE7306" w:rsidRDefault="00F61E2F">
      <w:pPr>
        <w:spacing w:after="0"/>
        <w:rPr>
          <w:lang w:eastAsia="zh-CN"/>
        </w:rPr>
      </w:pPr>
      <w:r>
        <w:rPr>
          <w:lang w:eastAsia="zh-CN"/>
        </w:rPr>
        <w:t>[3] R2-2109386, Reply LS on QoE configuration and reporting related issues, SA4</w:t>
      </w:r>
    </w:p>
    <w:p w14:paraId="55D6147D" w14:textId="4299AC21" w:rsidR="00FE7306" w:rsidRDefault="00F61E2F">
      <w:pPr>
        <w:spacing w:after="0"/>
        <w:rPr>
          <w:lang w:eastAsia="zh-CN"/>
        </w:rPr>
      </w:pPr>
      <w:r>
        <w:rPr>
          <w:lang w:eastAsia="zh-CN"/>
        </w:rPr>
        <w:t>[4] 3GPP TS 26.918, Virtual Reality (VR) media services over 3GPP</w:t>
      </w:r>
    </w:p>
    <w:p w14:paraId="1C6D3A7E" w14:textId="0FB3A617" w:rsidR="005C265C" w:rsidRDefault="005C265C">
      <w:pPr>
        <w:spacing w:after="0"/>
        <w:rPr>
          <w:lang w:eastAsia="zh-CN"/>
        </w:rPr>
      </w:pPr>
      <w:r>
        <w:rPr>
          <w:lang w:eastAsia="zh-CN"/>
        </w:rPr>
        <w:t xml:space="preserve">[5] </w:t>
      </w:r>
      <w:r w:rsidRPr="00364276">
        <w:rPr>
          <w:lang w:eastAsia="zh-CN"/>
        </w:rPr>
        <w:t>S4aI230140</w:t>
      </w:r>
      <w:r>
        <w:rPr>
          <w:lang w:eastAsia="zh-CN"/>
        </w:rPr>
        <w:t xml:space="preserve">, </w:t>
      </w:r>
      <w:r w:rsidRPr="00364276">
        <w:rPr>
          <w:lang w:eastAsia="zh-CN"/>
        </w:rPr>
        <w:t>Reply LS on buffer level threshold-based RVQoE reporting</w:t>
      </w:r>
      <w:r>
        <w:rPr>
          <w:lang w:eastAsia="zh-CN"/>
        </w:rPr>
        <w:t>, SA4</w:t>
      </w:r>
    </w:p>
    <w:p w14:paraId="10DCEA90" w14:textId="77777777" w:rsidR="00FE7306" w:rsidRDefault="00FE7306">
      <w:pPr>
        <w:spacing w:after="0"/>
        <w:rPr>
          <w:lang w:eastAsia="zh-CN"/>
        </w:rPr>
      </w:pPr>
    </w:p>
    <w:p w14:paraId="061F400D" w14:textId="77777777" w:rsidR="00FE7306" w:rsidRDefault="00FE7306">
      <w:pPr>
        <w:overflowPunct/>
        <w:autoSpaceDE/>
        <w:autoSpaceDN/>
        <w:adjustRightInd/>
        <w:spacing w:after="160"/>
        <w:rPr>
          <w:lang w:val="en-GB" w:eastAsia="zh-CN"/>
        </w:rPr>
      </w:pPr>
    </w:p>
    <w:p w14:paraId="59CE1AC9" w14:textId="77777777" w:rsidR="00695DD3" w:rsidRDefault="00695DD3"/>
    <w:sectPr w:rsidR="00695DD3">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DCB3D" w14:textId="77777777" w:rsidR="00B217F6" w:rsidRDefault="00B217F6">
      <w:pPr>
        <w:spacing w:after="0" w:line="240" w:lineRule="auto"/>
      </w:pPr>
      <w:r>
        <w:separator/>
      </w:r>
    </w:p>
  </w:endnote>
  <w:endnote w:type="continuationSeparator" w:id="0">
    <w:p w14:paraId="4B79B2B6" w14:textId="77777777" w:rsidR="00B217F6" w:rsidRDefault="00B2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EABBF" w14:textId="77777777" w:rsidR="00FE7306" w:rsidRDefault="00F61E2F">
    <w:pPr>
      <w:pStyle w:val="Footer"/>
      <w:jc w:val="center"/>
    </w:pPr>
    <w:r>
      <w:fldChar w:fldCharType="begin"/>
    </w:r>
    <w:r>
      <w:instrText xml:space="preserve"> PAGE   \* MERGEFORMAT </w:instrText>
    </w:r>
    <w:r>
      <w:fldChar w:fldCharType="separate"/>
    </w:r>
    <w:r>
      <w:t>3</w:t>
    </w:r>
    <w:r>
      <w:fldChar w:fldCharType="end"/>
    </w:r>
  </w:p>
  <w:p w14:paraId="5D1FA5DC" w14:textId="77777777" w:rsidR="00FE7306" w:rsidRDefault="00FE7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C2D0" w14:textId="77777777" w:rsidR="00B217F6" w:rsidRDefault="00B217F6">
      <w:pPr>
        <w:spacing w:after="0" w:line="240" w:lineRule="auto"/>
      </w:pPr>
      <w:r>
        <w:separator/>
      </w:r>
    </w:p>
  </w:footnote>
  <w:footnote w:type="continuationSeparator" w:id="0">
    <w:p w14:paraId="2DFE9C43" w14:textId="77777777" w:rsidR="00B217F6" w:rsidRDefault="00B21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7EA2"/>
    <w:multiLevelType w:val="multilevel"/>
    <w:tmpl w:val="0550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3341F"/>
    <w:multiLevelType w:val="multilevel"/>
    <w:tmpl w:val="06633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73233"/>
    <w:multiLevelType w:val="multilevel"/>
    <w:tmpl w:val="68833491"/>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E157FC"/>
    <w:multiLevelType w:val="multilevel"/>
    <w:tmpl w:val="13E15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3473E1"/>
    <w:multiLevelType w:val="multilevel"/>
    <w:tmpl w:val="3B3473E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933D47"/>
    <w:multiLevelType w:val="hybridMultilevel"/>
    <w:tmpl w:val="61E859C4"/>
    <w:lvl w:ilvl="0" w:tplc="235E3D20">
      <w:start w:val="2"/>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62780A"/>
    <w:multiLevelType w:val="multilevel"/>
    <w:tmpl w:val="586278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8833491"/>
    <w:multiLevelType w:val="multilevel"/>
    <w:tmpl w:val="68833491"/>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8"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4"/>
  </w:num>
  <w:num w:numId="3">
    <w:abstractNumId w:val="4"/>
  </w:num>
  <w:num w:numId="4">
    <w:abstractNumId w:val="5"/>
  </w:num>
  <w:num w:numId="5">
    <w:abstractNumId w:val="18"/>
  </w:num>
  <w:num w:numId="6">
    <w:abstractNumId w:val="11"/>
  </w:num>
  <w:num w:numId="7">
    <w:abstractNumId w:val="10"/>
  </w:num>
  <w:num w:numId="8">
    <w:abstractNumId w:val="17"/>
  </w:num>
  <w:num w:numId="9">
    <w:abstractNumId w:val="13"/>
  </w:num>
  <w:num w:numId="10">
    <w:abstractNumId w:val="6"/>
  </w:num>
  <w:num w:numId="11">
    <w:abstractNumId w:val="15"/>
  </w:num>
  <w:num w:numId="12">
    <w:abstractNumId w:val="3"/>
  </w:num>
  <w:num w:numId="13">
    <w:abstractNumId w:val="9"/>
  </w:num>
  <w:num w:numId="14">
    <w:abstractNumId w:val="16"/>
  </w:num>
  <w:num w:numId="15">
    <w:abstractNumId w:val="1"/>
  </w:num>
  <w:num w:numId="16">
    <w:abstractNumId w:val="8"/>
  </w:num>
  <w:num w:numId="17">
    <w:abstractNumId w:val="0"/>
  </w:num>
  <w:num w:numId="18">
    <w:abstractNumId w:val="12"/>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EFEAC29"/>
    <w:rsid w:val="FDF7F82C"/>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226"/>
    <w:rsid w:val="0004667E"/>
    <w:rsid w:val="00047403"/>
    <w:rsid w:val="0004752B"/>
    <w:rsid w:val="00050EE6"/>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10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526D"/>
    <w:rsid w:val="001B5356"/>
    <w:rsid w:val="001B5387"/>
    <w:rsid w:val="001B545D"/>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76E"/>
    <w:rsid w:val="002719BB"/>
    <w:rsid w:val="0027322A"/>
    <w:rsid w:val="00274330"/>
    <w:rsid w:val="00274473"/>
    <w:rsid w:val="002752BF"/>
    <w:rsid w:val="0027614C"/>
    <w:rsid w:val="00276319"/>
    <w:rsid w:val="002764BC"/>
    <w:rsid w:val="0027684B"/>
    <w:rsid w:val="00277278"/>
    <w:rsid w:val="00277671"/>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880"/>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1A0"/>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094"/>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6894"/>
    <w:rsid w:val="003D71E1"/>
    <w:rsid w:val="003D7930"/>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C8D"/>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880"/>
    <w:rsid w:val="00460DA7"/>
    <w:rsid w:val="00462705"/>
    <w:rsid w:val="00462832"/>
    <w:rsid w:val="00462B27"/>
    <w:rsid w:val="00462D34"/>
    <w:rsid w:val="004639B0"/>
    <w:rsid w:val="0046477B"/>
    <w:rsid w:val="00464FDC"/>
    <w:rsid w:val="00465EC6"/>
    <w:rsid w:val="0046610F"/>
    <w:rsid w:val="0046651D"/>
    <w:rsid w:val="004676F2"/>
    <w:rsid w:val="004718B6"/>
    <w:rsid w:val="00472EFD"/>
    <w:rsid w:val="0047442B"/>
    <w:rsid w:val="00474C7B"/>
    <w:rsid w:val="00474F1D"/>
    <w:rsid w:val="004757D9"/>
    <w:rsid w:val="00477401"/>
    <w:rsid w:val="004801BF"/>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B94"/>
    <w:rsid w:val="00496E86"/>
    <w:rsid w:val="004978EF"/>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BF9"/>
    <w:rsid w:val="004D3C11"/>
    <w:rsid w:val="004D3D7C"/>
    <w:rsid w:val="004D3DE9"/>
    <w:rsid w:val="004D4921"/>
    <w:rsid w:val="004D4B0A"/>
    <w:rsid w:val="004D4D67"/>
    <w:rsid w:val="004D557A"/>
    <w:rsid w:val="004D7803"/>
    <w:rsid w:val="004D7D32"/>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3FC"/>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8EB"/>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D65"/>
    <w:rsid w:val="00555FF6"/>
    <w:rsid w:val="00556A7F"/>
    <w:rsid w:val="00556C71"/>
    <w:rsid w:val="00556E5C"/>
    <w:rsid w:val="00556F1C"/>
    <w:rsid w:val="0055736E"/>
    <w:rsid w:val="0056020C"/>
    <w:rsid w:val="0056098F"/>
    <w:rsid w:val="005610E5"/>
    <w:rsid w:val="00561950"/>
    <w:rsid w:val="00561BFD"/>
    <w:rsid w:val="005633B6"/>
    <w:rsid w:val="0056421B"/>
    <w:rsid w:val="00564542"/>
    <w:rsid w:val="00565B7F"/>
    <w:rsid w:val="005673A9"/>
    <w:rsid w:val="00570148"/>
    <w:rsid w:val="00570503"/>
    <w:rsid w:val="00571045"/>
    <w:rsid w:val="00571662"/>
    <w:rsid w:val="0057220C"/>
    <w:rsid w:val="00572776"/>
    <w:rsid w:val="00572A62"/>
    <w:rsid w:val="00572B39"/>
    <w:rsid w:val="00572BC5"/>
    <w:rsid w:val="00572D20"/>
    <w:rsid w:val="00573BA3"/>
    <w:rsid w:val="00574CD8"/>
    <w:rsid w:val="00575C1C"/>
    <w:rsid w:val="00576106"/>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65C"/>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321C"/>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06C4"/>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6B7"/>
    <w:rsid w:val="00695B02"/>
    <w:rsid w:val="00695DD3"/>
    <w:rsid w:val="0069658D"/>
    <w:rsid w:val="006A0486"/>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146"/>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1A6"/>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C98"/>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6C8C"/>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623F"/>
    <w:rsid w:val="007E6D2E"/>
    <w:rsid w:val="007E712F"/>
    <w:rsid w:val="007E7600"/>
    <w:rsid w:val="007F01A1"/>
    <w:rsid w:val="007F08EE"/>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17F86"/>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1D2"/>
    <w:rsid w:val="008A5568"/>
    <w:rsid w:val="008A55D3"/>
    <w:rsid w:val="008A5752"/>
    <w:rsid w:val="008A62D6"/>
    <w:rsid w:val="008A666E"/>
    <w:rsid w:val="008A67B4"/>
    <w:rsid w:val="008A76B1"/>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79C"/>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3613"/>
    <w:rsid w:val="00983A0B"/>
    <w:rsid w:val="0098463E"/>
    <w:rsid w:val="00990A56"/>
    <w:rsid w:val="00990D1F"/>
    <w:rsid w:val="0099115A"/>
    <w:rsid w:val="009939FD"/>
    <w:rsid w:val="00994C86"/>
    <w:rsid w:val="00996185"/>
    <w:rsid w:val="0099624F"/>
    <w:rsid w:val="00996536"/>
    <w:rsid w:val="00996B08"/>
    <w:rsid w:val="009975C1"/>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3A00"/>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8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3C9"/>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7F6"/>
    <w:rsid w:val="00B21998"/>
    <w:rsid w:val="00B221C9"/>
    <w:rsid w:val="00B2244D"/>
    <w:rsid w:val="00B234A4"/>
    <w:rsid w:val="00B23C64"/>
    <w:rsid w:val="00B24435"/>
    <w:rsid w:val="00B24442"/>
    <w:rsid w:val="00B24474"/>
    <w:rsid w:val="00B2476B"/>
    <w:rsid w:val="00B25401"/>
    <w:rsid w:val="00B25B55"/>
    <w:rsid w:val="00B25EDE"/>
    <w:rsid w:val="00B26A96"/>
    <w:rsid w:val="00B27CE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B25"/>
    <w:rsid w:val="00B74E6D"/>
    <w:rsid w:val="00B76698"/>
    <w:rsid w:val="00B7731A"/>
    <w:rsid w:val="00B7771E"/>
    <w:rsid w:val="00B8046B"/>
    <w:rsid w:val="00B80CAD"/>
    <w:rsid w:val="00B80D89"/>
    <w:rsid w:val="00B8164D"/>
    <w:rsid w:val="00B81865"/>
    <w:rsid w:val="00B82B1B"/>
    <w:rsid w:val="00B82BFF"/>
    <w:rsid w:val="00B83AF1"/>
    <w:rsid w:val="00B83E63"/>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3665"/>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3610"/>
    <w:rsid w:val="00C14514"/>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6984"/>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CA"/>
    <w:rsid w:val="00C52884"/>
    <w:rsid w:val="00C529B7"/>
    <w:rsid w:val="00C53791"/>
    <w:rsid w:val="00C53C2D"/>
    <w:rsid w:val="00C54CCA"/>
    <w:rsid w:val="00C55E60"/>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09"/>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588A"/>
    <w:rsid w:val="00D76001"/>
    <w:rsid w:val="00D77C13"/>
    <w:rsid w:val="00D8073F"/>
    <w:rsid w:val="00D80F22"/>
    <w:rsid w:val="00D81C62"/>
    <w:rsid w:val="00D836B3"/>
    <w:rsid w:val="00D83AE5"/>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3B6F"/>
    <w:rsid w:val="00DC4586"/>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A36"/>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85A"/>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4B4"/>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487"/>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47EC9"/>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1E2F"/>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017D"/>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306"/>
    <w:rsid w:val="00FE7FC8"/>
    <w:rsid w:val="00FF0E18"/>
    <w:rsid w:val="00FF1902"/>
    <w:rsid w:val="00FF2624"/>
    <w:rsid w:val="00FF2641"/>
    <w:rsid w:val="00FF3F88"/>
    <w:rsid w:val="00FF41B1"/>
    <w:rsid w:val="00FF4300"/>
    <w:rsid w:val="00FF5AAB"/>
    <w:rsid w:val="00FF6347"/>
    <w:rsid w:val="00FF6A23"/>
    <w:rsid w:val="00FF6CBF"/>
    <w:rsid w:val="184F0DDD"/>
    <w:rsid w:val="29E96DD8"/>
    <w:rsid w:val="31DB0A80"/>
    <w:rsid w:val="34663030"/>
    <w:rsid w:val="3E6132A3"/>
    <w:rsid w:val="43056EAF"/>
    <w:rsid w:val="4A064990"/>
    <w:rsid w:val="5ABC88F0"/>
    <w:rsid w:val="5ADD173D"/>
    <w:rsid w:val="5C3B14DF"/>
    <w:rsid w:val="5DBF17A0"/>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6DE6EC"/>
  <w15:docId w15:val="{0DC022F4-9097-4370-A951-5FFEE434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SimSun"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420583">
      <w:bodyDiv w:val="1"/>
      <w:marLeft w:val="0"/>
      <w:marRight w:val="0"/>
      <w:marTop w:val="0"/>
      <w:marBottom w:val="0"/>
      <w:divBdr>
        <w:top w:val="none" w:sz="0" w:space="0" w:color="auto"/>
        <w:left w:val="none" w:sz="0" w:space="0" w:color="auto"/>
        <w:bottom w:val="none" w:sz="0" w:space="0" w:color="auto"/>
        <w:right w:val="none" w:sz="0" w:space="0" w:color="auto"/>
      </w:divBdr>
    </w:div>
    <w:div w:id="17417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6</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13</cp:revision>
  <dcterms:created xsi:type="dcterms:W3CDTF">2023-05-09T22:02:00Z</dcterms:created>
  <dcterms:modified xsi:type="dcterms:W3CDTF">2023-08-10T13:53:00Z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